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C0A5A5" w14:textId="5252CBC6" w:rsidR="00D22631" w:rsidRPr="006212EC" w:rsidRDefault="00D92575" w:rsidP="00D22631">
      <w:pPr>
        <w:pStyle w:val="3GPPHeader"/>
        <w:spacing w:after="60"/>
        <w:rPr>
          <w:sz w:val="32"/>
          <w:szCs w:val="32"/>
          <w:highlight w:val="yellow"/>
        </w:rPr>
      </w:pPr>
      <w:bookmarkStart w:id="0" w:name="OLE_LINK1"/>
      <w:bookmarkStart w:id="1" w:name="OLE_LINK2"/>
      <w:r w:rsidRPr="000404EF">
        <w:rPr>
          <w:lang w:val="en-US"/>
        </w:rPr>
        <w:t xml:space="preserve">3GPP TSG-RAN WG2 </w:t>
      </w:r>
      <w:r>
        <w:rPr>
          <w:lang w:val="en-US"/>
        </w:rPr>
        <w:t>#97</w:t>
      </w:r>
      <w:r w:rsidR="00D22631" w:rsidRPr="006212EC">
        <w:tab/>
      </w:r>
      <w:r w:rsidR="00D22631" w:rsidRPr="006212EC">
        <w:rPr>
          <w:sz w:val="32"/>
          <w:szCs w:val="32"/>
        </w:rPr>
        <w:t xml:space="preserve">Tdoc </w:t>
      </w:r>
      <w:r w:rsidR="00D22631" w:rsidRPr="00664477">
        <w:rPr>
          <w:sz w:val="32"/>
          <w:szCs w:val="32"/>
        </w:rPr>
        <w:t>R2-</w:t>
      </w:r>
      <w:r w:rsidR="00664477" w:rsidRPr="00664477">
        <w:rPr>
          <w:sz w:val="32"/>
          <w:szCs w:val="32"/>
        </w:rPr>
        <w:t>1700866</w:t>
      </w:r>
    </w:p>
    <w:p w14:paraId="16EA1223" w14:textId="77777777" w:rsidR="00D92575" w:rsidRDefault="00D92575" w:rsidP="00D92575">
      <w:pPr>
        <w:pStyle w:val="3GPPHeader"/>
        <w:spacing w:after="60"/>
        <w:rPr>
          <w:b w:val="0"/>
          <w:noProof/>
        </w:rPr>
      </w:pPr>
      <w:r>
        <w:rPr>
          <w:lang w:val="en-US"/>
        </w:rPr>
        <w:t>Athens, Greece, 13</w:t>
      </w:r>
      <w:r w:rsidRPr="00910EE8">
        <w:rPr>
          <w:vertAlign w:val="superscript"/>
          <w:lang w:val="en-US"/>
        </w:rPr>
        <w:t>th</w:t>
      </w:r>
      <w:r>
        <w:rPr>
          <w:lang w:val="en-US"/>
        </w:rPr>
        <w:t xml:space="preserve"> </w:t>
      </w:r>
      <w:r w:rsidRPr="00910EE8">
        <w:rPr>
          <w:lang w:val="en-US"/>
        </w:rPr>
        <w:t>– 1</w:t>
      </w:r>
      <w:r>
        <w:rPr>
          <w:lang w:val="en-US"/>
        </w:rPr>
        <w:t>7</w:t>
      </w:r>
      <w:r w:rsidRPr="00910EE8">
        <w:rPr>
          <w:vertAlign w:val="superscript"/>
          <w:lang w:val="en-US"/>
        </w:rPr>
        <w:t>th</w:t>
      </w:r>
      <w:r>
        <w:rPr>
          <w:lang w:val="en-US"/>
        </w:rPr>
        <w:t xml:space="preserve"> February </w:t>
      </w:r>
      <w:r w:rsidRPr="00910EE8">
        <w:rPr>
          <w:lang w:val="en-US"/>
        </w:rPr>
        <w:t>2017</w:t>
      </w:r>
    </w:p>
    <w:p w14:paraId="39CCBD4B" w14:textId="77777777" w:rsidR="00D22631" w:rsidRPr="006212EC" w:rsidRDefault="00D22631" w:rsidP="00D22631">
      <w:pPr>
        <w:pStyle w:val="3GPPHeader"/>
      </w:pPr>
    </w:p>
    <w:p w14:paraId="7E86C507" w14:textId="406187B3" w:rsidR="00D22631" w:rsidRPr="00664477" w:rsidRDefault="00D92575" w:rsidP="00D22631">
      <w:pPr>
        <w:pStyle w:val="3GPPHeader"/>
        <w:rPr>
          <w:sz w:val="22"/>
          <w:szCs w:val="22"/>
          <w:lang w:val="en-US"/>
        </w:rPr>
      </w:pPr>
      <w:r w:rsidRPr="00664477">
        <w:rPr>
          <w:sz w:val="22"/>
          <w:szCs w:val="22"/>
          <w:lang w:val="en-US"/>
        </w:rPr>
        <w:t>Agenda Item:</w:t>
      </w:r>
      <w:r w:rsidRPr="00664477">
        <w:rPr>
          <w:sz w:val="22"/>
          <w:szCs w:val="22"/>
          <w:lang w:val="en-US"/>
        </w:rPr>
        <w:tab/>
      </w:r>
      <w:r w:rsidR="00DF2130" w:rsidRPr="00664477">
        <w:rPr>
          <w:sz w:val="22"/>
          <w:szCs w:val="22"/>
          <w:lang w:val="en-US"/>
        </w:rPr>
        <w:t>10.3.1.1.3</w:t>
      </w:r>
      <w:bookmarkStart w:id="2" w:name="_GoBack"/>
      <w:bookmarkEnd w:id="2"/>
    </w:p>
    <w:p w14:paraId="751000B2" w14:textId="77777777" w:rsidR="00B17E47" w:rsidRPr="006212EC" w:rsidRDefault="00B17E47" w:rsidP="00B17E47">
      <w:pPr>
        <w:pStyle w:val="3GPPHeader"/>
        <w:rPr>
          <w:sz w:val="22"/>
          <w:szCs w:val="22"/>
        </w:rPr>
      </w:pPr>
      <w:r w:rsidRPr="006212EC">
        <w:rPr>
          <w:sz w:val="22"/>
          <w:szCs w:val="22"/>
        </w:rPr>
        <w:t>Source:</w:t>
      </w:r>
      <w:r w:rsidRPr="006212EC">
        <w:rPr>
          <w:sz w:val="22"/>
          <w:szCs w:val="22"/>
        </w:rPr>
        <w:tab/>
        <w:t>Ericsson</w:t>
      </w:r>
    </w:p>
    <w:p w14:paraId="01F7AA9F" w14:textId="5DAAFB6B" w:rsidR="00B17E47" w:rsidRPr="006212EC" w:rsidRDefault="00B17E47" w:rsidP="00B17E47">
      <w:pPr>
        <w:pStyle w:val="3GPPHeader"/>
        <w:rPr>
          <w:sz w:val="22"/>
          <w:szCs w:val="22"/>
        </w:rPr>
      </w:pPr>
      <w:r w:rsidRPr="006212EC">
        <w:rPr>
          <w:sz w:val="22"/>
          <w:szCs w:val="22"/>
        </w:rPr>
        <w:t>Title:</w:t>
      </w:r>
      <w:r w:rsidRPr="006212EC">
        <w:rPr>
          <w:sz w:val="22"/>
          <w:szCs w:val="22"/>
        </w:rPr>
        <w:tab/>
      </w:r>
      <w:r w:rsidR="00EE0002">
        <w:rPr>
          <w:sz w:val="22"/>
          <w:szCs w:val="22"/>
        </w:rPr>
        <w:t xml:space="preserve">SeNB to MeNB reconfiguration for NR </w:t>
      </w:r>
      <w:r w:rsidR="008F0032" w:rsidRPr="006212EC">
        <w:rPr>
          <w:sz w:val="22"/>
          <w:szCs w:val="22"/>
        </w:rPr>
        <w:t>dual</w:t>
      </w:r>
      <w:r w:rsidR="00991C6A" w:rsidRPr="006212EC">
        <w:rPr>
          <w:sz w:val="22"/>
          <w:szCs w:val="22"/>
        </w:rPr>
        <w:t>-connectivity</w:t>
      </w:r>
    </w:p>
    <w:p w14:paraId="61AE20A3" w14:textId="3338EC07" w:rsidR="00DE50FA" w:rsidRPr="006212EC" w:rsidRDefault="00B17E47" w:rsidP="00B17E47">
      <w:pPr>
        <w:pStyle w:val="3GPPHeader"/>
        <w:rPr>
          <w:sz w:val="22"/>
          <w:szCs w:val="22"/>
        </w:rPr>
      </w:pPr>
      <w:r w:rsidRPr="006212EC">
        <w:rPr>
          <w:sz w:val="22"/>
          <w:szCs w:val="22"/>
        </w:rPr>
        <w:t>Document for:</w:t>
      </w:r>
      <w:r w:rsidRPr="006212EC">
        <w:rPr>
          <w:sz w:val="22"/>
          <w:szCs w:val="22"/>
        </w:rPr>
        <w:tab/>
      </w:r>
      <w:r w:rsidRPr="00CC3D73">
        <w:rPr>
          <w:sz w:val="22"/>
          <w:szCs w:val="22"/>
        </w:rPr>
        <w:t>Discussion, Decision</w:t>
      </w:r>
    </w:p>
    <w:p w14:paraId="5A162390" w14:textId="77777777" w:rsidR="00511894" w:rsidRPr="006212EC" w:rsidRDefault="00511894" w:rsidP="00B17E47">
      <w:pPr>
        <w:pStyle w:val="3GPPHeader"/>
        <w:rPr>
          <w:sz w:val="22"/>
          <w:szCs w:val="22"/>
        </w:rPr>
      </w:pPr>
    </w:p>
    <w:p w14:paraId="412AD900" w14:textId="77777777" w:rsidR="00D00AE7" w:rsidRPr="006212EC" w:rsidRDefault="00D00AE7" w:rsidP="004F14EE">
      <w:pPr>
        <w:pStyle w:val="Heading1"/>
        <w:pBdr>
          <w:top w:val="single" w:sz="12" w:space="0" w:color="auto"/>
        </w:pBdr>
      </w:pPr>
      <w:bookmarkStart w:id="3" w:name="_Ref298777854"/>
      <w:bookmarkEnd w:id="0"/>
      <w:bookmarkEnd w:id="1"/>
      <w:r w:rsidRPr="006212EC">
        <w:t>Introduction</w:t>
      </w:r>
      <w:bookmarkEnd w:id="3"/>
    </w:p>
    <w:p w14:paraId="46E57BD5" w14:textId="77777777" w:rsidR="003146A7" w:rsidRPr="006212EC" w:rsidRDefault="003146A7" w:rsidP="003146A7">
      <w:r>
        <w:t>In RAN2#96 following a</w:t>
      </w:r>
      <w:r w:rsidRPr="006212EC">
        <w:t xml:space="preserve">greements </w:t>
      </w:r>
      <w:r>
        <w:t>were made:</w:t>
      </w:r>
    </w:p>
    <w:p w14:paraId="6CCC762A" w14:textId="77777777" w:rsidR="003146A7" w:rsidRPr="006212EC" w:rsidRDefault="003146A7" w:rsidP="00B576BB">
      <w:pPr>
        <w:pStyle w:val="Doc-text2"/>
        <w:ind w:left="0" w:firstLine="0"/>
      </w:pPr>
    </w:p>
    <w:p w14:paraId="7ADE16A6" w14:textId="77777777" w:rsidR="003146A7" w:rsidRPr="006212EC" w:rsidRDefault="003146A7" w:rsidP="0079283F">
      <w:pPr>
        <w:pStyle w:val="Doc-text2"/>
        <w:pBdr>
          <w:top w:val="single" w:sz="4" w:space="1" w:color="auto"/>
          <w:left w:val="single" w:sz="4" w:space="31" w:color="auto"/>
          <w:bottom w:val="single" w:sz="4" w:space="0" w:color="auto"/>
          <w:right w:val="single" w:sz="4" w:space="4" w:color="auto"/>
        </w:pBdr>
        <w:tabs>
          <w:tab w:val="clear" w:pos="1622"/>
          <w:tab w:val="left" w:pos="1134"/>
        </w:tabs>
        <w:ind w:left="1134" w:hanging="425"/>
      </w:pPr>
      <w:r w:rsidRPr="006212EC">
        <w:t>1</w:t>
      </w:r>
      <w:r w:rsidRPr="006212EC">
        <w:tab/>
        <w:t>The mobility enhancement similar to that discussed for LTE (“Maintaining Source eNB connection during handover”) should be considered also for NR.</w:t>
      </w:r>
    </w:p>
    <w:p w14:paraId="3517E600" w14:textId="77777777" w:rsidR="003146A7" w:rsidRPr="006212EC" w:rsidRDefault="003146A7" w:rsidP="0079283F">
      <w:pPr>
        <w:pStyle w:val="Doc-text2"/>
        <w:pBdr>
          <w:top w:val="single" w:sz="4" w:space="1" w:color="auto"/>
          <w:left w:val="single" w:sz="4" w:space="31" w:color="auto"/>
          <w:bottom w:val="single" w:sz="4" w:space="0" w:color="auto"/>
          <w:right w:val="single" w:sz="4" w:space="4" w:color="auto"/>
        </w:pBdr>
        <w:tabs>
          <w:tab w:val="clear" w:pos="1622"/>
          <w:tab w:val="left" w:pos="1134"/>
        </w:tabs>
        <w:ind w:left="1134" w:hanging="425"/>
      </w:pPr>
      <w:r w:rsidRPr="006212EC">
        <w:t>2</w:t>
      </w:r>
      <w:r w:rsidRPr="006212EC">
        <w:tab/>
        <w:t>For DC (NR-NR), study how to reconfigure the UE from an MeNB to an SeNB to target the 0 ms UP interruption. FFS whether also applicable to LTE-NR</w:t>
      </w:r>
    </w:p>
    <w:p w14:paraId="106ECBB9" w14:textId="70EFB70F" w:rsidR="00B576BB" w:rsidRDefault="00B576BB" w:rsidP="003146A7">
      <w:pPr>
        <w:pStyle w:val="Doc-text2"/>
      </w:pPr>
    </w:p>
    <w:p w14:paraId="374E9D0E" w14:textId="7DC862A6" w:rsidR="00B576BB" w:rsidRDefault="00B576BB" w:rsidP="00B576BB">
      <w:pPr>
        <w:pStyle w:val="Doc-text2"/>
        <w:ind w:left="0" w:firstLine="0"/>
      </w:pPr>
      <w:r>
        <w:t>In addition, at RAN2-NR#1 it was agreed that:</w:t>
      </w:r>
    </w:p>
    <w:p w14:paraId="4A6EF957" w14:textId="77777777" w:rsidR="00B576BB" w:rsidRPr="006212EC" w:rsidRDefault="00B576BB" w:rsidP="00B576BB">
      <w:pPr>
        <w:pStyle w:val="Doc-text2"/>
        <w:ind w:left="0" w:firstLine="0"/>
      </w:pPr>
    </w:p>
    <w:p w14:paraId="4EF6864A" w14:textId="77777777" w:rsidR="00B576BB" w:rsidRDefault="00B576BB" w:rsidP="00B576BB">
      <w:pPr>
        <w:pStyle w:val="Doc-text2"/>
        <w:pBdr>
          <w:top w:val="single" w:sz="4" w:space="1" w:color="auto"/>
          <w:left w:val="single" w:sz="4" w:space="31" w:color="auto"/>
          <w:bottom w:val="single" w:sz="4" w:space="0" w:color="auto"/>
          <w:right w:val="single" w:sz="4" w:space="4" w:color="auto"/>
        </w:pBdr>
        <w:tabs>
          <w:tab w:val="clear" w:pos="1622"/>
          <w:tab w:val="left" w:pos="1134"/>
        </w:tabs>
        <w:ind w:left="1134" w:hanging="425"/>
      </w:pPr>
      <w:r w:rsidRPr="006212EC">
        <w:t>1</w:t>
      </w:r>
      <w:r w:rsidRPr="006212EC">
        <w:tab/>
      </w:r>
      <w:r w:rsidRPr="00B576BB">
        <w:t>Security key refresh is not performed at every mobility procedure (i.e. handover), at least for the case of mobility where the PDCP anchor point is not changed. (To be confirmed by SA3)</w:t>
      </w:r>
    </w:p>
    <w:p w14:paraId="0B7D85D3" w14:textId="5CF80BAE" w:rsidR="00B576BB" w:rsidRDefault="00B576BB" w:rsidP="00B576BB">
      <w:pPr>
        <w:pStyle w:val="Doc-text2"/>
        <w:pBdr>
          <w:top w:val="single" w:sz="4" w:space="1" w:color="auto"/>
          <w:left w:val="single" w:sz="4" w:space="31" w:color="auto"/>
          <w:bottom w:val="single" w:sz="4" w:space="0" w:color="auto"/>
          <w:right w:val="single" w:sz="4" w:space="4" w:color="auto"/>
        </w:pBdr>
        <w:tabs>
          <w:tab w:val="clear" w:pos="1622"/>
          <w:tab w:val="left" w:pos="1134"/>
        </w:tabs>
        <w:ind w:left="1134" w:hanging="425"/>
      </w:pPr>
      <w:r>
        <w:t>1a</w:t>
      </w:r>
      <w:r w:rsidRPr="006212EC">
        <w:tab/>
      </w:r>
      <w:r w:rsidRPr="00B576BB">
        <w:t>RAN2 will let SA3 consider whether the agreement 1 has any implication on the inputs for key derivation (e.g. PCI)</w:t>
      </w:r>
    </w:p>
    <w:p w14:paraId="1ACA4FCE" w14:textId="77777777" w:rsidR="00B576BB" w:rsidRPr="006212EC" w:rsidRDefault="00B576BB" w:rsidP="00B576BB">
      <w:pPr>
        <w:pStyle w:val="Doc-text2"/>
        <w:ind w:left="0" w:firstLine="0"/>
      </w:pPr>
    </w:p>
    <w:p w14:paraId="72102C3A" w14:textId="792E9647" w:rsidR="006212EC" w:rsidRPr="006212EC" w:rsidRDefault="00DF2B9F" w:rsidP="003146A7">
      <w:r w:rsidRPr="006212EC">
        <w:t>NR</w:t>
      </w:r>
      <w:r w:rsidR="006772BF" w:rsidRPr="006212EC">
        <w:t xml:space="preserve"> </w:t>
      </w:r>
      <w:r w:rsidR="00B042FF" w:rsidRPr="006212EC">
        <w:t xml:space="preserve">needs to </w:t>
      </w:r>
      <w:r w:rsidR="003314DF" w:rsidRPr="006212EC">
        <w:t>fulfil</w:t>
      </w:r>
      <w:r w:rsidR="00B042FF" w:rsidRPr="006212EC">
        <w:t xml:space="preserve"> </w:t>
      </w:r>
      <w:r w:rsidR="002B279F">
        <w:t>several</w:t>
      </w:r>
      <w:r w:rsidR="002B279F" w:rsidRPr="006212EC">
        <w:t xml:space="preserve"> </w:t>
      </w:r>
      <w:r w:rsidR="00872C80" w:rsidRPr="006212EC">
        <w:t>very</w:t>
      </w:r>
      <w:r w:rsidR="00B042FF" w:rsidRPr="006212EC">
        <w:t xml:space="preserve"> challenging requirements, such as</w:t>
      </w:r>
      <w:r w:rsidR="002F1FDB" w:rsidRPr="006212EC">
        <w:t xml:space="preserve"> on the one hand</w:t>
      </w:r>
      <w:r w:rsidR="00B042FF" w:rsidRPr="006212EC">
        <w:t xml:space="preserve"> very high data rates for MBB user case</w:t>
      </w:r>
      <w:r w:rsidR="00A32A1B" w:rsidRPr="006212EC">
        <w:t>s</w:t>
      </w:r>
      <w:r w:rsidR="002F1FDB" w:rsidRPr="006212EC">
        <w:t xml:space="preserve"> and</w:t>
      </w:r>
      <w:r w:rsidR="00B042FF" w:rsidRPr="006212EC">
        <w:t xml:space="preserve"> </w:t>
      </w:r>
      <w:r w:rsidR="002F1FDB" w:rsidRPr="006212EC">
        <w:t xml:space="preserve">on the other hand, </w:t>
      </w:r>
      <w:r w:rsidR="00B042FF" w:rsidRPr="006212EC">
        <w:t>ultra-reliability and</w:t>
      </w:r>
      <w:r w:rsidR="002F1FDB" w:rsidRPr="006212EC">
        <w:t xml:space="preserve"> very low latency for C-MTC use</w:t>
      </w:r>
      <w:r w:rsidR="00B042FF" w:rsidRPr="006212EC">
        <w:t xml:space="preserve"> case</w:t>
      </w:r>
      <w:r w:rsidR="00457E61" w:rsidRPr="006212EC">
        <w:t>s</w:t>
      </w:r>
      <w:r w:rsidR="00B042FF" w:rsidRPr="006212EC">
        <w:t xml:space="preserve">. </w:t>
      </w:r>
      <w:r w:rsidR="00CE543A" w:rsidRPr="006212EC">
        <w:t>Dual</w:t>
      </w:r>
      <w:r w:rsidR="00A3773B" w:rsidRPr="006212EC" w:rsidDel="00A3773B">
        <w:t xml:space="preserve"> </w:t>
      </w:r>
      <w:r w:rsidR="002F1FDB" w:rsidRPr="006212EC">
        <w:t>-connectivity is seen as one of the key enablers to meet these demanding requirements of the 5G use cases. However, further improvements are also needed, with respect to LTE Dual Connectivity (DC), to ensure seamless connectivity and robust mobility in addition to high</w:t>
      </w:r>
      <w:r w:rsidR="00641658" w:rsidRPr="006212EC">
        <w:t>er data rates</w:t>
      </w:r>
      <w:r w:rsidR="002F1FDB" w:rsidRPr="006212EC">
        <w:t>.</w:t>
      </w:r>
      <w:r w:rsidR="006212EC" w:rsidRPr="006212EC">
        <w:t xml:space="preserve"> </w:t>
      </w:r>
    </w:p>
    <w:p w14:paraId="2C268CC7" w14:textId="77777777" w:rsidR="00D00AE7" w:rsidRPr="006212EC" w:rsidRDefault="00D00AE7" w:rsidP="00D00AE7">
      <w:pPr>
        <w:pStyle w:val="Heading1"/>
      </w:pPr>
      <w:bookmarkStart w:id="4" w:name="_Ref471371486"/>
      <w:r w:rsidRPr="006212EC">
        <w:t>Discussion</w:t>
      </w:r>
      <w:bookmarkEnd w:id="4"/>
    </w:p>
    <w:p w14:paraId="36A8149F" w14:textId="62FB6ABF" w:rsidR="00991C6A" w:rsidRPr="006212EC" w:rsidRDefault="002F1FDB" w:rsidP="00991C6A">
      <w:r w:rsidRPr="006212EC">
        <w:t>In order to be able to provide very high data rates to end users, NR will be designed to operate</w:t>
      </w:r>
      <w:r w:rsidR="00641658" w:rsidRPr="006212EC">
        <w:t xml:space="preserve"> also</w:t>
      </w:r>
      <w:r w:rsidRPr="006212EC">
        <w:t xml:space="preserve"> in high </w:t>
      </w:r>
      <w:r w:rsidR="00E20B6A">
        <w:t xml:space="preserve">carrier </w:t>
      </w:r>
      <w:r w:rsidRPr="006212EC">
        <w:t xml:space="preserve">frequencies where wider spectrum bands are available. </w:t>
      </w:r>
      <w:r w:rsidR="00D22631" w:rsidRPr="006212EC">
        <w:t>Exploiting</w:t>
      </w:r>
      <w:r w:rsidR="00991C6A" w:rsidRPr="006212EC">
        <w:t xml:space="preserve"> the high frequencies has an impact on the propagation conditions. The path loss increases with higher frequency and suffers from worsen diffraction and higher outdoor/indoor penetration losses. This means that signals will have less ability to propagate around corners and penetrate walls. In addition, atmospheric/rain attenuation and higher body losses could also contribute to making the coverage of the NR spotty.</w:t>
      </w:r>
    </w:p>
    <w:p w14:paraId="692BE828" w14:textId="21A8EA76" w:rsidR="00991C6A" w:rsidRPr="006212EC" w:rsidRDefault="00991C6A" w:rsidP="00991C6A">
      <w:pPr>
        <w:tabs>
          <w:tab w:val="left" w:pos="5812"/>
        </w:tabs>
      </w:pPr>
      <w:r w:rsidRPr="006212EC">
        <w:t xml:space="preserve">In order to compensate for the higher path loss at high frequencies and improve the signal quality, beamforming with massive antennas is needed. However, despite potential link budget gains using massive antennas, reliability of a system purely relying on beamforming and operating in higher frequencies becomes even more challenging, as the coverage might be even more spotty and sensitive to both time and space variations. Thus, the UE may experience sudden drops of SINR or even lose the connection for short time periods. </w:t>
      </w:r>
      <w:r w:rsidR="001A4BB3" w:rsidRPr="006212EC">
        <w:t xml:space="preserve">If there is a coverage provided </w:t>
      </w:r>
      <w:r w:rsidR="0007040C">
        <w:t>on another NR frequency,</w:t>
      </w:r>
      <w:r w:rsidR="001A4BB3" w:rsidRPr="006212EC">
        <w:t xml:space="preserve"> the issues mentioned above can be partially </w:t>
      </w:r>
      <w:r w:rsidR="00A3773B">
        <w:t>addressed</w:t>
      </w:r>
      <w:r w:rsidR="00A3773B" w:rsidRPr="006212EC">
        <w:t xml:space="preserve"> </w:t>
      </w:r>
      <w:r w:rsidR="001A4BB3" w:rsidRPr="006212EC">
        <w:t xml:space="preserve">by enabling NR </w:t>
      </w:r>
      <w:r w:rsidR="00CE543A" w:rsidRPr="006212EC">
        <w:t>dual</w:t>
      </w:r>
      <w:r w:rsidR="00A3773B" w:rsidRPr="006212EC" w:rsidDel="00A3773B">
        <w:t xml:space="preserve"> </w:t>
      </w:r>
      <w:r w:rsidR="001A4BB3" w:rsidRPr="006212EC">
        <w:t>connectivity. Similarly, LTE-NR interworking can help to alleviate the challenges of high-frequency NR deployments by means of a low-frequency LTE overlay.</w:t>
      </w:r>
    </w:p>
    <w:p w14:paraId="7B599BF1" w14:textId="632198DD" w:rsidR="001A4BB3" w:rsidRDefault="001A4BB3" w:rsidP="007C72FF">
      <w:pPr>
        <w:pStyle w:val="Observation"/>
        <w:ind w:left="1701" w:hanging="1701"/>
      </w:pPr>
      <w:bookmarkStart w:id="5" w:name="_Toc471371402"/>
      <w:bookmarkStart w:id="6" w:name="_Toc471371416"/>
      <w:bookmarkStart w:id="7" w:name="_Toc471371423"/>
      <w:bookmarkStart w:id="8" w:name="_Toc471371430"/>
      <w:bookmarkStart w:id="9" w:name="_Toc471371452"/>
      <w:bookmarkStart w:id="10" w:name="_Toc471382685"/>
      <w:bookmarkStart w:id="11" w:name="_Toc471383510"/>
      <w:bookmarkStart w:id="12" w:name="_Toc471401191"/>
      <w:bookmarkStart w:id="13" w:name="_Toc471468842"/>
      <w:bookmarkStart w:id="14" w:name="_Toc471516617"/>
      <w:bookmarkStart w:id="15" w:name="_Toc473207003"/>
      <w:bookmarkStart w:id="16" w:name="_Toc473207136"/>
      <w:bookmarkStart w:id="17" w:name="_Toc473207391"/>
      <w:bookmarkStart w:id="18" w:name="_Toc473296725"/>
      <w:bookmarkStart w:id="19" w:name="_Toc473298462"/>
      <w:bookmarkStart w:id="20" w:name="_Toc473818610"/>
      <w:bookmarkStart w:id="21" w:name="_Toc473894817"/>
      <w:bookmarkStart w:id="22" w:name="_Toc473895075"/>
      <w:bookmarkStart w:id="23" w:name="_Toc473895126"/>
      <w:r w:rsidRPr="006212EC">
        <w:t xml:space="preserve">If there is a coverage provided by a secondary node, </w:t>
      </w:r>
      <w:r w:rsidR="00CB59DF" w:rsidRPr="006212EC">
        <w:t xml:space="preserve">NR </w:t>
      </w:r>
      <w:r w:rsidR="008F0032" w:rsidRPr="006212EC">
        <w:t>dual</w:t>
      </w:r>
      <w:r w:rsidR="00CB59DF" w:rsidRPr="006212EC">
        <w:t xml:space="preserve">-connectivity </w:t>
      </w:r>
      <w:r w:rsidR="000925CC" w:rsidRPr="006212EC">
        <w:t xml:space="preserve">can </w:t>
      </w:r>
      <w:r w:rsidR="00CB59DF" w:rsidRPr="006212EC">
        <w:t xml:space="preserve">partially </w:t>
      </w:r>
      <w:r w:rsidR="00A3773B">
        <w:t>re</w:t>
      </w:r>
      <w:r w:rsidR="00CB59DF" w:rsidRPr="006212EC">
        <w:t xml:space="preserve">solve </w:t>
      </w:r>
      <w:r w:rsidRPr="006212EC">
        <w:t xml:space="preserve">the issues </w:t>
      </w:r>
      <w:r w:rsidR="00A3773B">
        <w:t>caused by</w:t>
      </w:r>
      <w:r w:rsidRPr="006212EC">
        <w:t xml:space="preserve"> the spotty coverage of NR high-frequency nodes.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3E230306" w14:textId="6ECD6007" w:rsidR="00085598" w:rsidRDefault="00085598" w:rsidP="007C72FF">
      <w:pPr>
        <w:pStyle w:val="Observation"/>
        <w:ind w:left="1701" w:hanging="1701"/>
      </w:pPr>
      <w:bookmarkStart w:id="24" w:name="_Toc471371403"/>
      <w:bookmarkStart w:id="25" w:name="_Toc471371417"/>
      <w:bookmarkStart w:id="26" w:name="_Toc471371424"/>
      <w:bookmarkStart w:id="27" w:name="_Toc471371431"/>
      <w:bookmarkStart w:id="28" w:name="_Toc471371453"/>
      <w:bookmarkStart w:id="29" w:name="_Toc471382686"/>
      <w:bookmarkStart w:id="30" w:name="_Toc471383511"/>
      <w:bookmarkStart w:id="31" w:name="_Toc471401192"/>
      <w:bookmarkStart w:id="32" w:name="_Toc471468843"/>
      <w:bookmarkStart w:id="33" w:name="_Toc471516618"/>
      <w:bookmarkStart w:id="34" w:name="_Toc473207004"/>
      <w:bookmarkStart w:id="35" w:name="_Toc473207137"/>
      <w:bookmarkStart w:id="36" w:name="_Toc473207392"/>
      <w:bookmarkStart w:id="37" w:name="_Toc473296726"/>
      <w:bookmarkStart w:id="38" w:name="_Toc473298463"/>
      <w:bookmarkStart w:id="39" w:name="_Toc473818611"/>
      <w:bookmarkStart w:id="40" w:name="_Toc473894818"/>
      <w:bookmarkStart w:id="41" w:name="_Toc473895076"/>
      <w:bookmarkStart w:id="42" w:name="_Toc473895127"/>
      <w:r w:rsidRPr="006212EC">
        <w:lastRenderedPageBreak/>
        <w:t>LTE-NR interworking can also help to alleviate the challenges of high-frequency NR deployments by means of a low-frequency LTE overlay.</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576E6DD1" w14:textId="45C31878" w:rsidR="008B78E4" w:rsidRDefault="008B78E4" w:rsidP="008B78E4">
      <w:r>
        <w:t xml:space="preserve">The UP interruption time is defined as </w:t>
      </w:r>
      <w:r>
        <w:fldChar w:fldCharType="begin"/>
      </w:r>
      <w:r>
        <w:instrText xml:space="preserve"> REF _Ref470599709 \n \h </w:instrText>
      </w:r>
      <w:r>
        <w:fldChar w:fldCharType="separate"/>
      </w:r>
      <w:r w:rsidR="00B121A6">
        <w:t>[1]</w:t>
      </w:r>
      <w:r>
        <w:fldChar w:fldCharType="end"/>
      </w:r>
      <w:r>
        <w:t>:</w:t>
      </w:r>
    </w:p>
    <w:p w14:paraId="4277D10E" w14:textId="77777777" w:rsidR="008B78E4" w:rsidRPr="0007040C" w:rsidRDefault="008B78E4" w:rsidP="0007040C">
      <w:pPr>
        <w:spacing w:after="180"/>
        <w:ind w:left="567"/>
        <w:jc w:val="left"/>
        <w:rPr>
          <w:rFonts w:ascii="Times New Roman" w:eastAsia="MS Mincho" w:hAnsi="Times New Roman"/>
          <w:sz w:val="22"/>
          <w:lang w:eastAsia="en-US"/>
        </w:rPr>
      </w:pPr>
      <w:r w:rsidRPr="0007040C">
        <w:rPr>
          <w:rFonts w:ascii="Times New Roman" w:eastAsia="MS Mincho" w:hAnsi="Times New Roman"/>
          <w:sz w:val="22"/>
          <w:lang w:eastAsia="en-US"/>
        </w:rPr>
        <w:t>Mobility interruption time means the shortest time duration supported by the system during which a user terminal cannot exchange user plane packets with any base station during transitions.</w:t>
      </w:r>
    </w:p>
    <w:p w14:paraId="099BCFAB" w14:textId="77777777" w:rsidR="008B78E4" w:rsidRPr="0007040C" w:rsidRDefault="008B78E4" w:rsidP="0007040C">
      <w:pPr>
        <w:spacing w:after="180"/>
        <w:ind w:left="567"/>
        <w:jc w:val="left"/>
        <w:rPr>
          <w:rFonts w:ascii="Times New Roman" w:eastAsia="SimSun" w:hAnsi="Times New Roman"/>
          <w:sz w:val="22"/>
        </w:rPr>
      </w:pPr>
      <w:r w:rsidRPr="0007040C">
        <w:rPr>
          <w:rFonts w:ascii="Times New Roman" w:hAnsi="Times New Roman"/>
          <w:sz w:val="22"/>
        </w:rPr>
        <w:t>The target for mobility interruption time should be 0ms.</w:t>
      </w:r>
    </w:p>
    <w:p w14:paraId="397A94D5" w14:textId="397ED232" w:rsidR="008B78E4" w:rsidRPr="0007040C" w:rsidRDefault="008B78E4" w:rsidP="0007040C">
      <w:pPr>
        <w:spacing w:after="180"/>
        <w:ind w:left="567"/>
        <w:jc w:val="left"/>
        <w:rPr>
          <w:rFonts w:ascii="Times New Roman" w:eastAsia="MS Mincho" w:hAnsi="Times New Roman"/>
          <w:sz w:val="22"/>
          <w:lang w:eastAsia="ja-JP"/>
        </w:rPr>
      </w:pPr>
      <w:r w:rsidRPr="0007040C">
        <w:rPr>
          <w:rFonts w:ascii="Times New Roman" w:eastAsia="MS Mincho" w:hAnsi="Times New Roman"/>
          <w:sz w:val="22"/>
          <w:lang w:eastAsia="ja-JP"/>
        </w:rPr>
        <w:t xml:space="preserve">This KPI is </w:t>
      </w:r>
      <w:r w:rsidRPr="0007040C">
        <w:rPr>
          <w:rFonts w:ascii="Times New Roman" w:eastAsia="SimSun" w:hAnsi="Times New Roman"/>
          <w:sz w:val="22"/>
        </w:rPr>
        <w:t xml:space="preserve">for both intra-frequency and inter-frequency mobility </w:t>
      </w:r>
      <w:r w:rsidRPr="0007040C">
        <w:rPr>
          <w:rFonts w:ascii="Times New Roman" w:eastAsia="MS Mincho" w:hAnsi="Times New Roman"/>
          <w:sz w:val="22"/>
          <w:lang w:eastAsia="ja-JP"/>
        </w:rPr>
        <w:t>for intra-</w:t>
      </w:r>
      <w:r w:rsidR="0007040C" w:rsidRPr="0007040C">
        <w:rPr>
          <w:rFonts w:ascii="Times New Roman" w:eastAsia="SimSun" w:hAnsi="Times New Roman"/>
          <w:sz w:val="22"/>
        </w:rPr>
        <w:t>NR</w:t>
      </w:r>
      <w:r w:rsidRPr="0007040C">
        <w:rPr>
          <w:rFonts w:ascii="Times New Roman" w:eastAsia="MS Mincho" w:hAnsi="Times New Roman"/>
          <w:sz w:val="22"/>
          <w:lang w:eastAsia="ja-JP"/>
        </w:rPr>
        <w:t xml:space="preserve"> mobility.</w:t>
      </w:r>
    </w:p>
    <w:p w14:paraId="2D5A03B6" w14:textId="66ABA814" w:rsidR="008B78E4" w:rsidRDefault="004E09C9" w:rsidP="008B78E4">
      <w:r>
        <w:t>To achieve 0ms UP interruption f</w:t>
      </w:r>
      <w:r w:rsidR="00ED59BD">
        <w:t>or intra-frequency mobility, tight synchronization will be required between the nodes to avoid interference and could in those instances be handled by beam management procedures for intra-gNB mobility between different TRPs.</w:t>
      </w:r>
    </w:p>
    <w:p w14:paraId="625BE5AC" w14:textId="1494D980" w:rsidR="004E09C9" w:rsidRDefault="004E09C9" w:rsidP="00454EF1">
      <w:pPr>
        <w:pStyle w:val="Observation"/>
      </w:pPr>
      <w:bookmarkStart w:id="43" w:name="_Toc471382064"/>
      <w:bookmarkStart w:id="44" w:name="_Toc471382681"/>
      <w:bookmarkStart w:id="45" w:name="_Toc471383505"/>
      <w:bookmarkStart w:id="46" w:name="_Toc471400808"/>
      <w:bookmarkStart w:id="47" w:name="_Toc471401186"/>
      <w:bookmarkStart w:id="48" w:name="_Toc471468846"/>
      <w:bookmarkStart w:id="49" w:name="_Toc471515062"/>
      <w:bookmarkStart w:id="50" w:name="_Toc471516619"/>
      <w:bookmarkStart w:id="51" w:name="_Toc473207005"/>
      <w:bookmarkStart w:id="52" w:name="_Toc473207138"/>
      <w:bookmarkStart w:id="53" w:name="_Toc473207393"/>
      <w:bookmarkStart w:id="54" w:name="_Toc473296727"/>
      <w:bookmarkStart w:id="55" w:name="_Toc473298464"/>
      <w:bookmarkStart w:id="56" w:name="_Toc473818612"/>
      <w:bookmarkStart w:id="57" w:name="_Toc473894819"/>
      <w:bookmarkStart w:id="58" w:name="_Toc473895077"/>
      <w:bookmarkStart w:id="59" w:name="_Toc473895128"/>
      <w:r>
        <w:t>0ms UP interruption for intra-frequency mobility can be achieved with beam management procedures between different TRPs</w:t>
      </w:r>
      <w:bookmarkEnd w:id="43"/>
      <w:bookmarkEnd w:id="44"/>
      <w:bookmarkEnd w:id="45"/>
      <w:r w:rsidR="00E4506E">
        <w:t xml:space="preserve"> in the same gNB</w:t>
      </w:r>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7D0747A" w14:textId="40BD8285" w:rsidR="00B576BB" w:rsidRDefault="00ED59BD" w:rsidP="008B78E4">
      <w:r>
        <w:t xml:space="preserve">For inter-frequency mobility, </w:t>
      </w:r>
      <w:r w:rsidR="00454EF1">
        <w:t xml:space="preserve">DC could assist in reducing the UP interruption time as discussed in </w:t>
      </w:r>
      <w:r w:rsidR="00454EF1">
        <w:fldChar w:fldCharType="begin"/>
      </w:r>
      <w:r w:rsidR="00454EF1">
        <w:instrText xml:space="preserve"> REF _Ref471217493 \n \h </w:instrText>
      </w:r>
      <w:r w:rsidR="00454EF1">
        <w:fldChar w:fldCharType="separate"/>
      </w:r>
      <w:r w:rsidR="00B121A6">
        <w:t>[3]</w:t>
      </w:r>
      <w:r w:rsidR="00454EF1">
        <w:fldChar w:fldCharType="end"/>
      </w:r>
      <w:r w:rsidR="00454EF1">
        <w:t xml:space="preserve">. All intra MeNB mobility can be handled with 0ms interruption by allocating split bearer and adding, modifying and removing SCG. </w:t>
      </w:r>
    </w:p>
    <w:p w14:paraId="77E40E97" w14:textId="42278230" w:rsidR="00DC2174" w:rsidRDefault="00B576BB" w:rsidP="008B78E4">
      <w:r>
        <w:t>The agreement that security key refresh is not needed when performing mobility without moving the PDCP anchor point is implicit</w:t>
      </w:r>
      <w:r w:rsidR="004D4070">
        <w:t>.</w:t>
      </w:r>
      <w:r>
        <w:t xml:space="preserve"> </w:t>
      </w:r>
    </w:p>
    <w:p w14:paraId="0F217CEC" w14:textId="7613D8E7" w:rsidR="00DC2174" w:rsidRDefault="00DC2174" w:rsidP="008B78E4">
      <w:pPr>
        <w:pStyle w:val="Observation"/>
      </w:pPr>
      <w:bookmarkStart w:id="60" w:name="_Toc471516620"/>
      <w:bookmarkStart w:id="61" w:name="_Toc473207006"/>
      <w:bookmarkStart w:id="62" w:name="_Toc473207139"/>
      <w:bookmarkStart w:id="63" w:name="_Toc473207394"/>
      <w:bookmarkStart w:id="64" w:name="_Toc473296728"/>
      <w:bookmarkStart w:id="65" w:name="_Toc473298465"/>
      <w:bookmarkStart w:id="66" w:name="_Toc473818613"/>
      <w:bookmarkStart w:id="67" w:name="_Toc473894820"/>
      <w:bookmarkStart w:id="68" w:name="_Toc473895078"/>
      <w:bookmarkStart w:id="69" w:name="_Toc473895129"/>
      <w:r>
        <w:t>0ms UP interruption for inter-frequency mobility can be achieved with dual connectivity for intra M</w:t>
      </w:r>
      <w:r w:rsidR="0019775B">
        <w:t>e</w:t>
      </w:r>
      <w:r>
        <w:t>NB mobility</w:t>
      </w:r>
      <w:bookmarkEnd w:id="60"/>
      <w:bookmarkEnd w:id="61"/>
      <w:bookmarkEnd w:id="62"/>
      <w:bookmarkEnd w:id="63"/>
      <w:bookmarkEnd w:id="64"/>
      <w:bookmarkEnd w:id="65"/>
      <w:bookmarkEnd w:id="66"/>
      <w:bookmarkEnd w:id="67"/>
      <w:bookmarkEnd w:id="68"/>
      <w:bookmarkEnd w:id="69"/>
    </w:p>
    <w:p w14:paraId="5DA1AD16" w14:textId="4380BC1C" w:rsidR="00ED59BD" w:rsidRDefault="00F0143C" w:rsidP="008B78E4">
      <w:r>
        <w:t>F</w:t>
      </w:r>
      <w:r w:rsidR="00454EF1">
        <w:t>or inter MeNB mobility</w:t>
      </w:r>
      <w:r>
        <w:t xml:space="preserve">, </w:t>
      </w:r>
      <w:r w:rsidR="00E051BB">
        <w:t>a role</w:t>
      </w:r>
      <w:r w:rsidR="00D40853">
        <w:t xml:space="preserve"> switch</w:t>
      </w:r>
      <w:r w:rsidR="00E051BB">
        <w:t xml:space="preserve"> of the SeNB</w:t>
      </w:r>
      <w:r w:rsidR="00E17061">
        <w:t xml:space="preserve"> to MeNB during mobility</w:t>
      </w:r>
      <w:r w:rsidR="00E051BB">
        <w:t xml:space="preserve"> was suggested to be studied</w:t>
      </w:r>
      <w:r w:rsidR="00E17061">
        <w:t>.</w:t>
      </w:r>
    </w:p>
    <w:p w14:paraId="1030E667" w14:textId="3414F044" w:rsidR="00221E26" w:rsidRDefault="00800B21" w:rsidP="00221E26">
      <w:pPr>
        <w:pStyle w:val="Heading2"/>
      </w:pPr>
      <w:r>
        <w:t>Reconfigure</w:t>
      </w:r>
      <w:r w:rsidR="00221E26" w:rsidRPr="00D37F4E">
        <w:t xml:space="preserve"> MeNB to an SeNB</w:t>
      </w:r>
      <w:r>
        <w:t xml:space="preserve"> to target the 0 ms UP interruption</w:t>
      </w:r>
    </w:p>
    <w:p w14:paraId="03608F24" w14:textId="11171732" w:rsidR="00221E26" w:rsidRPr="00D37F4E" w:rsidRDefault="00221E26" w:rsidP="00221E26">
      <w:r>
        <w:t>In LTE, the only way to reconfigure from an MeNB to an SeNB is to release the SeNB and perform a handover to that eNB. As discussed in</w:t>
      </w:r>
      <w:r w:rsidR="00262FE7">
        <w:t xml:space="preserve"> </w:t>
      </w:r>
      <w:r w:rsidR="00262FE7">
        <w:fldChar w:fldCharType="begin"/>
      </w:r>
      <w:r w:rsidR="00262FE7">
        <w:instrText xml:space="preserve"> REF _Ref473296935 \r \h </w:instrText>
      </w:r>
      <w:r w:rsidR="00262FE7">
        <w:fldChar w:fldCharType="separate"/>
      </w:r>
      <w:r w:rsidR="00B121A6">
        <w:t>[2]</w:t>
      </w:r>
      <w:r w:rsidR="00262FE7">
        <w:fldChar w:fldCharType="end"/>
      </w:r>
      <w:r>
        <w:t>, this results in an UP interruption while the UE connects to the new eNB.</w:t>
      </w:r>
    </w:p>
    <w:p w14:paraId="0676E134" w14:textId="13ECA416" w:rsidR="00641658" w:rsidRDefault="00524B34" w:rsidP="007C72FF">
      <w:pPr>
        <w:pStyle w:val="Observation"/>
        <w:ind w:left="1701" w:hanging="1701"/>
      </w:pPr>
      <w:bookmarkStart w:id="70" w:name="_Toc471468844"/>
      <w:bookmarkStart w:id="71" w:name="_Toc471516621"/>
      <w:bookmarkStart w:id="72" w:name="_Toc473207007"/>
      <w:bookmarkStart w:id="73" w:name="_Toc473207140"/>
      <w:bookmarkStart w:id="74" w:name="_Toc473207395"/>
      <w:bookmarkStart w:id="75" w:name="_Toc473296729"/>
      <w:bookmarkStart w:id="76" w:name="_Toc473298466"/>
      <w:bookmarkStart w:id="77" w:name="_Toc473818614"/>
      <w:bookmarkStart w:id="78" w:name="_Toc473894821"/>
      <w:bookmarkStart w:id="79" w:name="_Toc473895079"/>
      <w:bookmarkStart w:id="80" w:name="_Toc473895130"/>
      <w:bookmarkStart w:id="81" w:name="_Toc471371404"/>
      <w:bookmarkStart w:id="82" w:name="_Toc471371418"/>
      <w:bookmarkStart w:id="83" w:name="_Toc471371425"/>
      <w:bookmarkStart w:id="84" w:name="_Toc471371432"/>
      <w:bookmarkStart w:id="85" w:name="_Toc471371454"/>
      <w:bookmarkStart w:id="86" w:name="_Toc471382687"/>
      <w:bookmarkStart w:id="87" w:name="_Toc471383512"/>
      <w:bookmarkStart w:id="88" w:name="_Toc471401193"/>
      <w:r w:rsidRPr="006212EC">
        <w:t xml:space="preserve">In LTE DC, </w:t>
      </w:r>
      <w:r w:rsidR="003A528B" w:rsidRPr="006212EC">
        <w:t>the</w:t>
      </w:r>
      <w:r w:rsidR="00E051BB">
        <w:t xml:space="preserve"> procedure for reconfiguring SeNB to MeNB results in a UP interruption while the UE connects to the new eNB.</w:t>
      </w:r>
      <w:bookmarkEnd w:id="70"/>
      <w:bookmarkEnd w:id="71"/>
      <w:bookmarkEnd w:id="72"/>
      <w:bookmarkEnd w:id="73"/>
      <w:bookmarkEnd w:id="74"/>
      <w:bookmarkEnd w:id="75"/>
      <w:bookmarkEnd w:id="76"/>
      <w:bookmarkEnd w:id="77"/>
      <w:bookmarkEnd w:id="78"/>
      <w:bookmarkEnd w:id="79"/>
      <w:bookmarkEnd w:id="80"/>
      <w:r w:rsidR="00E051BB">
        <w:t xml:space="preserve"> </w:t>
      </w:r>
      <w:bookmarkEnd w:id="81"/>
      <w:bookmarkEnd w:id="82"/>
      <w:bookmarkEnd w:id="83"/>
      <w:bookmarkEnd w:id="84"/>
      <w:bookmarkEnd w:id="85"/>
      <w:bookmarkEnd w:id="86"/>
      <w:bookmarkEnd w:id="87"/>
      <w:bookmarkEnd w:id="88"/>
    </w:p>
    <w:p w14:paraId="3D7C8AEF" w14:textId="11FF9431" w:rsidR="00E17061" w:rsidRDefault="006B52AC" w:rsidP="00E17061">
      <w:pPr>
        <w:pStyle w:val="BodyText"/>
        <w:jc w:val="left"/>
      </w:pPr>
      <w:r>
        <w:t xml:space="preserve">For NR, it </w:t>
      </w:r>
      <w:r w:rsidR="00BE6397">
        <w:t>has been</w:t>
      </w:r>
      <w:r>
        <w:t xml:space="preserve"> proposed that a role switch from </w:t>
      </w:r>
      <w:r w:rsidR="00A323EE">
        <w:t>SeNB to MeNB</w:t>
      </w:r>
      <w:r>
        <w:t xml:space="preserve"> should be possible </w:t>
      </w:r>
      <w:r>
        <w:fldChar w:fldCharType="begin"/>
      </w:r>
      <w:r>
        <w:instrText xml:space="preserve"> REF _Ref471217493 \n \h </w:instrText>
      </w:r>
      <w:r>
        <w:fldChar w:fldCharType="separate"/>
      </w:r>
      <w:r w:rsidR="00B121A6">
        <w:t>[3]</w:t>
      </w:r>
      <w:r>
        <w:fldChar w:fldCharType="end"/>
      </w:r>
      <w:r>
        <w:t>. However, there are several implications which need to be addressed in order to achieve this.</w:t>
      </w:r>
    </w:p>
    <w:p w14:paraId="75B0CD5C" w14:textId="713D46B2" w:rsidR="00E61543" w:rsidRDefault="00E61543" w:rsidP="00E17061">
      <w:pPr>
        <w:pStyle w:val="BodyText"/>
        <w:jc w:val="left"/>
      </w:pPr>
      <w:r>
        <w:t xml:space="preserve">When a UE is connected </w:t>
      </w:r>
      <w:r w:rsidR="00C32D26">
        <w:t>with</w:t>
      </w:r>
      <w:r>
        <w:t xml:space="preserve"> DC, the MeNB uses the security key KeNB while the SeNB uses the S-KeNB</w:t>
      </w:r>
      <w:r w:rsidR="00E051BB">
        <w:t xml:space="preserve"> which is derived from the KeNB.</w:t>
      </w:r>
      <w:r>
        <w:t xml:space="preserve"> If the MeNB is changed, the KeNB will be updated and so will the S-KeNB. To ensure the security, the keys are updated every time the UE changes eNB based on the Next</w:t>
      </w:r>
      <w:r w:rsidR="00660316">
        <w:t xml:space="preserve"> </w:t>
      </w:r>
      <w:r>
        <w:t>Hop</w:t>
      </w:r>
      <w:r w:rsidR="00660316">
        <w:t xml:space="preserve"> </w:t>
      </w:r>
      <w:r w:rsidR="00956399">
        <w:t>(NH) parameter</w:t>
      </w:r>
      <w:r w:rsidR="00660316">
        <w:t xml:space="preserve"> </w:t>
      </w:r>
      <w:r>
        <w:t>provided by the CN.</w:t>
      </w:r>
      <w:r w:rsidR="00962874" w:rsidRPr="00962874">
        <w:t xml:space="preserve"> </w:t>
      </w:r>
      <w:r w:rsidR="00962874">
        <w:t xml:space="preserve">In order to </w:t>
      </w:r>
      <w:r w:rsidR="00956399">
        <w:t>synchronize the use of</w:t>
      </w:r>
      <w:r w:rsidR="00962874">
        <w:t xml:space="preserve"> the security key, the UE has to perform a random access to the new eNB. </w:t>
      </w:r>
      <w:r w:rsidR="00986D06">
        <w:t>Thus</w:t>
      </w:r>
      <w:r w:rsidR="00962874">
        <w:t>, there will inevitably be an interruption when the key</w:t>
      </w:r>
      <w:r w:rsidR="00956399">
        <w:t>s</w:t>
      </w:r>
      <w:r w:rsidR="00962874">
        <w:t xml:space="preserve"> </w:t>
      </w:r>
      <w:r w:rsidR="00956399">
        <w:t>are</w:t>
      </w:r>
      <w:r w:rsidR="00962874">
        <w:t xml:space="preserve"> updated.</w:t>
      </w:r>
    </w:p>
    <w:p w14:paraId="3FFBE0E8" w14:textId="40010A7F" w:rsidR="00E61543" w:rsidRDefault="00986D06" w:rsidP="00E61543">
      <w:pPr>
        <w:pStyle w:val="Observation"/>
        <w:ind w:left="1701" w:hanging="1701"/>
      </w:pPr>
      <w:bookmarkStart w:id="89" w:name="_Toc471371405"/>
      <w:bookmarkStart w:id="90" w:name="_Toc471371419"/>
      <w:bookmarkStart w:id="91" w:name="_Toc471371426"/>
      <w:bookmarkStart w:id="92" w:name="_Toc471371433"/>
      <w:bookmarkStart w:id="93" w:name="_Toc471371455"/>
      <w:bookmarkStart w:id="94" w:name="_Toc471382688"/>
      <w:bookmarkStart w:id="95" w:name="_Toc471383513"/>
      <w:bookmarkStart w:id="96" w:name="_Toc471401194"/>
      <w:bookmarkStart w:id="97" w:name="_Toc471468845"/>
      <w:bookmarkStart w:id="98" w:name="_Toc471516622"/>
      <w:bookmarkStart w:id="99" w:name="_Toc473207008"/>
      <w:bookmarkStart w:id="100" w:name="_Toc473207141"/>
      <w:bookmarkStart w:id="101" w:name="_Toc473207396"/>
      <w:bookmarkStart w:id="102" w:name="_Toc473296730"/>
      <w:bookmarkStart w:id="103" w:name="_Toc473298467"/>
      <w:bookmarkStart w:id="104" w:name="_Toc473818615"/>
      <w:bookmarkStart w:id="105" w:name="_Toc473894822"/>
      <w:bookmarkStart w:id="106" w:name="_Toc473895080"/>
      <w:bookmarkStart w:id="107" w:name="_Toc473895131"/>
      <w:r>
        <w:t>U</w:t>
      </w:r>
      <w:r w:rsidR="00962874">
        <w:t xml:space="preserve">pdating the </w:t>
      </w:r>
      <w:r w:rsidR="00B829F3">
        <w:t>security KEY</w:t>
      </w:r>
      <w:r w:rsidR="00962874">
        <w:t xml:space="preserve"> </w:t>
      </w:r>
      <w:r w:rsidR="00CA332D">
        <w:t xml:space="preserve">in MeNB and SeNB simultaneously </w:t>
      </w:r>
      <w:r w:rsidR="00962874">
        <w:t>will lead to some interruption during RA</w:t>
      </w:r>
      <w:r w:rsidR="00A91EF5">
        <w:t>.</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r w:rsidR="00E61543">
        <w:t xml:space="preserve"> </w:t>
      </w:r>
    </w:p>
    <w:p w14:paraId="4B8F9C56" w14:textId="5675B8CB" w:rsidR="00C740AB" w:rsidRDefault="00C740AB" w:rsidP="00C740AB">
      <w:pPr>
        <w:pStyle w:val="BodyText"/>
        <w:jc w:val="left"/>
      </w:pPr>
      <w:r>
        <w:t xml:space="preserve">To avoid the UP interruption, it should be studied whether the key for the SeNB can be updated during the role switch without releasing the Source MeNB. </w:t>
      </w:r>
      <w:r w:rsidR="00B829F3">
        <w:t xml:space="preserve">Since the MeNB and SeNB are inter-frequency, the UE doesn’t have to turn off its transmission and reception to one eNB when performing the RA to the other eNB. </w:t>
      </w:r>
      <w:r>
        <w:t>Once the</w:t>
      </w:r>
      <w:r w:rsidR="00B829F3">
        <w:t xml:space="preserve"> Target eNB has synchronized the new key, the </w:t>
      </w:r>
      <w:r>
        <w:t>Source MeNB can be released or reconfigured as a SeNB</w:t>
      </w:r>
      <w:r w:rsidR="00A42CCB">
        <w:t xml:space="preserve"> with an updated security KEY</w:t>
      </w:r>
      <w:r>
        <w:t>.</w:t>
      </w:r>
      <w:r w:rsidR="00B829F3">
        <w:t xml:space="preserve"> </w:t>
      </w:r>
    </w:p>
    <w:p w14:paraId="7D3F346F" w14:textId="21C6C819" w:rsidR="00720075" w:rsidRDefault="00720075" w:rsidP="00C740AB">
      <w:pPr>
        <w:pStyle w:val="BodyText"/>
        <w:jc w:val="left"/>
      </w:pPr>
      <w:r w:rsidRPr="00C14090">
        <w:t xml:space="preserve">In LTE Rel-14, there is currently work in the WI </w:t>
      </w:r>
      <w:r w:rsidRPr="00C14090">
        <w:rPr>
          <w:i/>
        </w:rPr>
        <w:t>Further mobility enhancements in LTE</w:t>
      </w:r>
      <w:r w:rsidRPr="00C14090">
        <w:t xml:space="preserve"> to reduce the interruption time during handovers</w:t>
      </w:r>
      <w:r>
        <w:t xml:space="preserve"> where solutions based on RACH-less handovers and </w:t>
      </w:r>
      <w:r>
        <w:rPr>
          <w:i/>
        </w:rPr>
        <w:t>make-before-break</w:t>
      </w:r>
      <w:r>
        <w:t xml:space="preserve"> procedures are considered. However, these solutions only consider the intra-frequency scenario </w:t>
      </w:r>
      <w:r>
        <w:fldChar w:fldCharType="begin"/>
      </w:r>
      <w:r>
        <w:instrText xml:space="preserve"> REF _Ref473895036 \r \h </w:instrText>
      </w:r>
      <w:r>
        <w:fldChar w:fldCharType="separate"/>
      </w:r>
      <w:r>
        <w:t>[4]</w:t>
      </w:r>
      <w:r>
        <w:fldChar w:fldCharType="end"/>
      </w:r>
      <w:r>
        <w:t>.</w:t>
      </w:r>
    </w:p>
    <w:p w14:paraId="5F6D6076" w14:textId="6B7752A4" w:rsidR="00C740AB" w:rsidRDefault="00C740AB" w:rsidP="00C740AB">
      <w:pPr>
        <w:pStyle w:val="Proposal"/>
        <w:numPr>
          <w:ilvl w:val="0"/>
          <w:numId w:val="3"/>
        </w:numPr>
      </w:pPr>
      <w:bookmarkStart w:id="108" w:name="_Toc471468847"/>
      <w:bookmarkStart w:id="109" w:name="_Toc471515063"/>
      <w:bookmarkStart w:id="110" w:name="_Toc471516623"/>
      <w:bookmarkStart w:id="111" w:name="_Toc473207009"/>
      <w:bookmarkStart w:id="112" w:name="_Toc473207142"/>
      <w:bookmarkStart w:id="113" w:name="_Toc473207397"/>
      <w:bookmarkStart w:id="114" w:name="_Toc473296731"/>
      <w:bookmarkStart w:id="115" w:name="_Toc473298468"/>
      <w:bookmarkStart w:id="116" w:name="_Toc473818616"/>
      <w:bookmarkStart w:id="117" w:name="_Toc473894823"/>
      <w:bookmarkStart w:id="118" w:name="_Toc473895081"/>
      <w:bookmarkStart w:id="119" w:name="_Toc473895132"/>
      <w:bookmarkStart w:id="120" w:name="_Toc473912523"/>
      <w:r>
        <w:t xml:space="preserve">RAN2 </w:t>
      </w:r>
      <w:r w:rsidR="004A4F57">
        <w:t>should</w:t>
      </w:r>
      <w:r>
        <w:t xml:space="preserve"> study </w:t>
      </w:r>
      <w:bookmarkEnd w:id="108"/>
      <w:bookmarkEnd w:id="109"/>
      <w:bookmarkEnd w:id="110"/>
      <w:bookmarkEnd w:id="111"/>
      <w:bookmarkEnd w:id="112"/>
      <w:bookmarkEnd w:id="113"/>
      <w:bookmarkEnd w:id="114"/>
      <w:bookmarkEnd w:id="115"/>
      <w:r w:rsidR="00D96856">
        <w:t>how the Rel-14</w:t>
      </w:r>
      <w:r w:rsidR="002C4A32">
        <w:t xml:space="preserve"> mobility enhancement </w:t>
      </w:r>
      <w:r w:rsidR="00D96856">
        <w:t xml:space="preserve">solutions with RACH-less handover </w:t>
      </w:r>
      <w:r w:rsidR="00C14090">
        <w:t xml:space="preserve">and </w:t>
      </w:r>
      <w:r w:rsidR="00C14090">
        <w:rPr>
          <w:i/>
        </w:rPr>
        <w:t xml:space="preserve">make-before-break </w:t>
      </w:r>
      <w:r w:rsidR="00C14090" w:rsidRPr="00C14090">
        <w:t>procedures</w:t>
      </w:r>
      <w:r w:rsidR="00C14090">
        <w:rPr>
          <w:i/>
        </w:rPr>
        <w:t xml:space="preserve"> </w:t>
      </w:r>
      <w:r w:rsidR="00D96856">
        <w:t>could be used for inter-frequency handover to SeNB</w:t>
      </w:r>
      <w:r w:rsidR="002C4A32">
        <w:t xml:space="preserve"> in NR</w:t>
      </w:r>
      <w:r w:rsidR="00036623">
        <w:t>.</w:t>
      </w:r>
      <w:bookmarkEnd w:id="116"/>
      <w:bookmarkEnd w:id="117"/>
      <w:bookmarkEnd w:id="118"/>
      <w:bookmarkEnd w:id="119"/>
      <w:bookmarkEnd w:id="120"/>
    </w:p>
    <w:p w14:paraId="5927842A" w14:textId="3754552C" w:rsidR="003509CA" w:rsidRPr="003509CA" w:rsidRDefault="003509CA" w:rsidP="003509CA">
      <w:pPr>
        <w:pStyle w:val="Heading2"/>
      </w:pPr>
      <w:r>
        <w:t>SeNB to MeNB reconfiguration for LTE-NR DC</w:t>
      </w:r>
    </w:p>
    <w:p w14:paraId="1F3F8BE7" w14:textId="7680F3AF" w:rsidR="00FB5C19" w:rsidRPr="006212EC" w:rsidRDefault="00FB5C19" w:rsidP="004E2BB4">
      <w:pPr>
        <w:pStyle w:val="BodyText"/>
        <w:jc w:val="left"/>
      </w:pPr>
      <w:r w:rsidRPr="006212EC">
        <w:t>In addition, it is essential to consider the early deployments where there is both LTE and NR coverage. In this case, if a procedure for</w:t>
      </w:r>
      <w:r w:rsidR="00F716E3">
        <w:t xml:space="preserve"> SeNB to MeNB reconfiguration </w:t>
      </w:r>
      <w:r w:rsidRPr="006212EC">
        <w:t xml:space="preserve">is agreed for NR </w:t>
      </w:r>
      <w:r w:rsidR="009D12F4" w:rsidRPr="006212EC">
        <w:t>dual</w:t>
      </w:r>
      <w:r w:rsidRPr="006212EC">
        <w:t>-connectivity, then it could be also beneficial</w:t>
      </w:r>
      <w:r w:rsidR="00E76454" w:rsidRPr="006212EC">
        <w:t xml:space="preserve"> for certain deployments</w:t>
      </w:r>
      <w:r w:rsidRPr="006212EC">
        <w:t xml:space="preserve"> to enable the same procedure for </w:t>
      </w:r>
      <w:r w:rsidR="00F359CC">
        <w:t>L</w:t>
      </w:r>
      <w:r w:rsidRPr="006212EC">
        <w:t>TE-NR tight-interworking.</w:t>
      </w:r>
      <w:r w:rsidR="004D3C14" w:rsidRPr="006212EC">
        <w:t xml:space="preserve"> </w:t>
      </w:r>
    </w:p>
    <w:p w14:paraId="251B6742" w14:textId="4440CC51" w:rsidR="00FB5C19" w:rsidRPr="006212EC" w:rsidRDefault="00FB5C19" w:rsidP="00FB5C19">
      <w:pPr>
        <w:pStyle w:val="Proposal"/>
        <w:numPr>
          <w:ilvl w:val="0"/>
          <w:numId w:val="3"/>
        </w:numPr>
      </w:pPr>
      <w:bookmarkStart w:id="121" w:name="_Toc471371411"/>
      <w:bookmarkStart w:id="122" w:name="_Toc471371462"/>
      <w:bookmarkStart w:id="123" w:name="_Toc471379364"/>
      <w:bookmarkStart w:id="124" w:name="_Toc471379390"/>
      <w:bookmarkStart w:id="125" w:name="_Toc471382066"/>
      <w:bookmarkStart w:id="126" w:name="_Toc471382683"/>
      <w:bookmarkStart w:id="127" w:name="_Toc471383508"/>
      <w:bookmarkStart w:id="128" w:name="_Toc471400811"/>
      <w:bookmarkStart w:id="129" w:name="_Toc471401189"/>
      <w:bookmarkStart w:id="130" w:name="_Toc471468848"/>
      <w:bookmarkStart w:id="131" w:name="_Toc471515064"/>
      <w:bookmarkStart w:id="132" w:name="_Toc471516624"/>
      <w:bookmarkStart w:id="133" w:name="_Toc473207010"/>
      <w:bookmarkStart w:id="134" w:name="_Toc473207144"/>
      <w:bookmarkStart w:id="135" w:name="_Toc473207399"/>
      <w:bookmarkStart w:id="136" w:name="_Toc473296733"/>
      <w:bookmarkStart w:id="137" w:name="_Toc473298470"/>
      <w:bookmarkStart w:id="138" w:name="_Toc473818618"/>
      <w:bookmarkStart w:id="139" w:name="_Toc473894824"/>
      <w:bookmarkStart w:id="140" w:name="_Toc473895082"/>
      <w:bookmarkStart w:id="141" w:name="_Toc473895133"/>
      <w:bookmarkStart w:id="142" w:name="_Toc473912524"/>
      <w:r w:rsidRPr="006212EC">
        <w:t xml:space="preserve">If a </w:t>
      </w:r>
      <w:r w:rsidR="00F716E3">
        <w:t xml:space="preserve">procedure for SeNB to MeNB reconfiguration </w:t>
      </w:r>
      <w:r w:rsidRPr="006212EC">
        <w:t xml:space="preserve">is agreed for NR </w:t>
      </w:r>
      <w:r w:rsidR="00532A9D" w:rsidRPr="006212EC">
        <w:t>dual</w:t>
      </w:r>
      <w:r w:rsidRPr="006212EC">
        <w:t>-connectivity, then it could be also beneficia</w:t>
      </w:r>
      <w:r w:rsidR="00F716E3">
        <w:t>l to enable the same</w:t>
      </w:r>
      <w:r w:rsidRPr="006212EC">
        <w:t xml:space="preserve"> procedure for</w:t>
      </w:r>
      <w:r w:rsidR="00532A9D" w:rsidRPr="006212EC">
        <w:t xml:space="preserve"> </w:t>
      </w:r>
      <w:r w:rsidRPr="006212EC">
        <w:t>LTE-NR tight-interworking.</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289B1F85" w14:textId="77777777" w:rsidR="00D00AE7" w:rsidRPr="006212EC" w:rsidRDefault="00D00AE7" w:rsidP="00D00AE7">
      <w:pPr>
        <w:pStyle w:val="Heading1"/>
      </w:pPr>
      <w:r w:rsidRPr="006212EC">
        <w:t>Conclusion</w:t>
      </w:r>
    </w:p>
    <w:p w14:paraId="1158846A" w14:textId="77777777" w:rsidR="00B121A6" w:rsidRDefault="007917A1" w:rsidP="007917A1">
      <w:pPr>
        <w:rPr>
          <w:noProof/>
        </w:rPr>
      </w:pPr>
      <w:r>
        <w:t>In section</w:t>
      </w:r>
      <w:r w:rsidR="007149E7">
        <w:t xml:space="preserve"> </w:t>
      </w:r>
      <w:r w:rsidR="007149E7">
        <w:fldChar w:fldCharType="begin"/>
      </w:r>
      <w:r w:rsidR="007149E7">
        <w:instrText xml:space="preserve"> REF _Ref471371486 \r \h </w:instrText>
      </w:r>
      <w:r w:rsidR="007149E7">
        <w:fldChar w:fldCharType="separate"/>
      </w:r>
      <w:r w:rsidR="00B121A6">
        <w:t>2</w:t>
      </w:r>
      <w:r w:rsidR="007149E7">
        <w:fldChar w:fldCharType="end"/>
      </w:r>
      <w:r>
        <w:t xml:space="preserve"> </w:t>
      </w:r>
      <w:r w:rsidRPr="00CE0424">
        <w:t xml:space="preserve">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0BDC8245" w14:textId="77777777" w:rsidR="00B121A6" w:rsidRDefault="00B121A6">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If there is a coverage provided by a secondary node, NR dual-connectivity can partially resolve the issues caused by the spotty coverage of NR high-frequency nodes.</w:t>
      </w:r>
    </w:p>
    <w:p w14:paraId="257E478B" w14:textId="77777777" w:rsidR="00B121A6" w:rsidRDefault="00B121A6">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LTE-NR interworking can also help to alleviate the challenges of high-frequency NR deployments by means of a low-frequency LTE overlay.</w:t>
      </w:r>
    </w:p>
    <w:p w14:paraId="788B54FE" w14:textId="77777777" w:rsidR="00B121A6" w:rsidRDefault="00B121A6">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0ms UP interruption for intra-frequency mobility can be achieved with beam management procedures between different TRPs in the same gNB</w:t>
      </w:r>
    </w:p>
    <w:p w14:paraId="144888A4" w14:textId="77777777" w:rsidR="00B121A6" w:rsidRDefault="00B121A6">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0ms UP interruption for inter-frequency mobility can be achieved with dual connectivity for intra MeNB mobility</w:t>
      </w:r>
    </w:p>
    <w:p w14:paraId="3DAEB280" w14:textId="77777777" w:rsidR="00B121A6" w:rsidRDefault="00B121A6">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In LTE DC, the procedure for reconfiguring SeNB to MeNB results in a UP interruption while the UE connects to the new eNB.</w:t>
      </w:r>
    </w:p>
    <w:p w14:paraId="7202B7CE" w14:textId="77777777" w:rsidR="00B121A6" w:rsidRDefault="00B121A6">
      <w:pPr>
        <w:pStyle w:val="TOC1"/>
        <w:rPr>
          <w:rFonts w:asciiTheme="minorHAnsi" w:eastAsiaTheme="minorEastAsia" w:hAnsiTheme="minorHAnsi" w:cstheme="minorBidi"/>
          <w:b w:val="0"/>
          <w:sz w:val="22"/>
          <w:lang w:eastAsia="en-US"/>
        </w:rPr>
      </w:pPr>
      <w:r>
        <w:t>Observation 6</w:t>
      </w:r>
      <w:r>
        <w:rPr>
          <w:rFonts w:asciiTheme="minorHAnsi" w:eastAsiaTheme="minorEastAsia" w:hAnsiTheme="minorHAnsi" w:cstheme="minorBidi"/>
          <w:b w:val="0"/>
          <w:sz w:val="22"/>
          <w:lang w:eastAsia="en-US"/>
        </w:rPr>
        <w:tab/>
      </w:r>
      <w:r>
        <w:t>Updating the security KEY in MeNB and SeNB simultaneously will lead to some interruption during RA.</w:t>
      </w:r>
    </w:p>
    <w:p w14:paraId="2C60501B" w14:textId="29C40008" w:rsidR="007917A1" w:rsidRDefault="007917A1" w:rsidP="007917A1">
      <w:pPr>
        <w:pStyle w:val="BodyText"/>
        <w:rPr>
          <w:b/>
          <w:bCs/>
        </w:rPr>
      </w:pPr>
      <w:r>
        <w:rPr>
          <w:b/>
          <w:bCs/>
        </w:rPr>
        <w:fldChar w:fldCharType="end"/>
      </w:r>
    </w:p>
    <w:p w14:paraId="5FE8F08C" w14:textId="77777777" w:rsidR="002D389F" w:rsidRDefault="007917A1" w:rsidP="007917A1">
      <w:pPr>
        <w:pStyle w:val="BodyText"/>
        <w:rPr>
          <w:noProof/>
        </w:rPr>
      </w:pPr>
      <w:r w:rsidRPr="00CE0424">
        <w:t xml:space="preserve">Based on the discussion in section </w:t>
      </w:r>
      <w:r>
        <w:fldChar w:fldCharType="begin"/>
      </w:r>
      <w:r>
        <w:instrText xml:space="preserve"> REF _Ref471371486 \n \h </w:instrText>
      </w:r>
      <w:r>
        <w:fldChar w:fldCharType="separate"/>
      </w:r>
      <w:r w:rsidR="00B121A6">
        <w:t>2</w:t>
      </w:r>
      <w:r>
        <w:fldChar w:fldCharType="end"/>
      </w:r>
      <w:r>
        <w:t xml:space="preserve"> </w:t>
      </w:r>
      <w:r w:rsidRPr="00CE0424">
        <w:t>we propose the following:</w:t>
      </w:r>
      <w:r>
        <w:rPr>
          <w:b/>
          <w:bCs/>
        </w:rPr>
        <w:fldChar w:fldCharType="begin"/>
      </w:r>
      <w:r>
        <w:rPr>
          <w:b/>
          <w:bCs/>
        </w:rPr>
        <w:instrText xml:space="preserve"> TOC \f \n \p " " \t "Proposal;1" </w:instrText>
      </w:r>
      <w:r>
        <w:rPr>
          <w:b/>
          <w:bCs/>
        </w:rPr>
        <w:fldChar w:fldCharType="separate"/>
      </w:r>
    </w:p>
    <w:p w14:paraId="06611BEE" w14:textId="77777777" w:rsidR="002D389F" w:rsidRPr="002D389F" w:rsidRDefault="002D389F">
      <w:pPr>
        <w:pStyle w:val="TOC1"/>
        <w:rPr>
          <w:rFonts w:asciiTheme="minorHAnsi" w:eastAsiaTheme="minorEastAsia" w:hAnsiTheme="minorHAnsi" w:cstheme="minorBidi"/>
          <w:b w:val="0"/>
          <w:sz w:val="22"/>
          <w:lang w:val="en-GB" w:eastAsia="fi-FI"/>
        </w:rPr>
      </w:pPr>
      <w:r>
        <w:t>Proposal 1</w:t>
      </w:r>
      <w:r w:rsidRPr="002D389F">
        <w:rPr>
          <w:rFonts w:asciiTheme="minorHAnsi" w:eastAsiaTheme="minorEastAsia" w:hAnsiTheme="minorHAnsi" w:cstheme="minorBidi"/>
          <w:b w:val="0"/>
          <w:sz w:val="22"/>
          <w:lang w:val="en-GB" w:eastAsia="fi-FI"/>
        </w:rPr>
        <w:tab/>
      </w:r>
      <w:r>
        <w:t xml:space="preserve">RAN2 should study how the Rel-14 mobility enhancement solutions with RACH-less handover and </w:t>
      </w:r>
      <w:r w:rsidRPr="009374E9">
        <w:rPr>
          <w:i/>
        </w:rPr>
        <w:t xml:space="preserve">make-before-break </w:t>
      </w:r>
      <w:r>
        <w:t>procedures</w:t>
      </w:r>
      <w:r w:rsidRPr="009374E9">
        <w:rPr>
          <w:i/>
        </w:rPr>
        <w:t xml:space="preserve"> </w:t>
      </w:r>
      <w:r>
        <w:t>could be used for inter-frequency handover to SeNB in NR.</w:t>
      </w:r>
    </w:p>
    <w:p w14:paraId="5679309B" w14:textId="77777777" w:rsidR="002D389F" w:rsidRPr="002D389F" w:rsidRDefault="002D389F">
      <w:pPr>
        <w:pStyle w:val="TOC1"/>
        <w:rPr>
          <w:rFonts w:asciiTheme="minorHAnsi" w:eastAsiaTheme="minorEastAsia" w:hAnsiTheme="minorHAnsi" w:cstheme="minorBidi"/>
          <w:b w:val="0"/>
          <w:sz w:val="22"/>
          <w:lang w:val="en-GB" w:eastAsia="fi-FI"/>
        </w:rPr>
      </w:pPr>
      <w:r>
        <w:t>Proposal 2</w:t>
      </w:r>
      <w:r w:rsidRPr="002D389F">
        <w:rPr>
          <w:rFonts w:asciiTheme="minorHAnsi" w:eastAsiaTheme="minorEastAsia" w:hAnsiTheme="minorHAnsi" w:cstheme="minorBidi"/>
          <w:b w:val="0"/>
          <w:sz w:val="22"/>
          <w:lang w:val="en-GB" w:eastAsia="fi-FI"/>
        </w:rPr>
        <w:tab/>
      </w:r>
      <w:r>
        <w:t>If a procedure for SeNB to MeNB reconfiguration is agreed for NR dual-connectivity, then it could be also beneficial to enable the same procedure for LTE-NR tight-interworking.</w:t>
      </w:r>
    </w:p>
    <w:p w14:paraId="2A238E6B" w14:textId="6D7AB5D5" w:rsidR="007917A1" w:rsidRPr="006212EC" w:rsidRDefault="007917A1" w:rsidP="00A557C9">
      <w:pPr>
        <w:pStyle w:val="TOC1"/>
      </w:pPr>
      <w:r>
        <w:rPr>
          <w:b w:val="0"/>
          <w:bCs/>
        </w:rPr>
        <w:fldChar w:fldCharType="end"/>
      </w:r>
    </w:p>
    <w:p w14:paraId="7CE5B69F" w14:textId="77777777" w:rsidR="00105AE4" w:rsidRPr="006212EC" w:rsidRDefault="00105AE4" w:rsidP="00105AE4">
      <w:pPr>
        <w:pStyle w:val="Heading1"/>
        <w:rPr>
          <w:bCs/>
        </w:rPr>
      </w:pPr>
      <w:r w:rsidRPr="006212EC">
        <w:rPr>
          <w:bCs/>
        </w:rPr>
        <w:t>Reference</w:t>
      </w:r>
    </w:p>
    <w:p w14:paraId="6D3A419D" w14:textId="1D4F1CCE" w:rsidR="0087558D" w:rsidRDefault="0087558D" w:rsidP="0087558D">
      <w:pPr>
        <w:pStyle w:val="Reference"/>
      </w:pPr>
      <w:bookmarkStart w:id="143" w:name="_Ref470599709"/>
      <w:bookmarkStart w:id="144" w:name="_Ref471216593"/>
      <w:r>
        <w:t>TR 38.913, Study on Scenarios and Requirements for Next Generation Access Technologies; (Release 14).</w:t>
      </w:r>
      <w:bookmarkEnd w:id="143"/>
    </w:p>
    <w:p w14:paraId="0D24E730" w14:textId="77777777" w:rsidR="00ED59BD" w:rsidRDefault="00ED59BD" w:rsidP="00ED59BD">
      <w:pPr>
        <w:pStyle w:val="Reference"/>
      </w:pPr>
      <w:bookmarkStart w:id="145" w:name="_Ref473296935"/>
      <w:r>
        <w:t xml:space="preserve">R2-168299, How to realize zero ms UP interruption in NR, Ericsson, </w:t>
      </w:r>
      <w:r w:rsidRPr="006212EC">
        <w:t>3GPP TSG-RAN WG2 #96, Reno, Nevada, USA, 14th – 18th November 2016.</w:t>
      </w:r>
      <w:bookmarkEnd w:id="145"/>
    </w:p>
    <w:p w14:paraId="5DC72345" w14:textId="39640A5C" w:rsidR="00105AE4" w:rsidRDefault="00105AE4" w:rsidP="00ED59BD">
      <w:pPr>
        <w:pStyle w:val="Reference"/>
      </w:pPr>
      <w:bookmarkStart w:id="146" w:name="_Ref471217493"/>
      <w:r w:rsidRPr="006212EC">
        <w:t xml:space="preserve">R2-168564, </w:t>
      </w:r>
      <w:r w:rsidR="00ED59BD" w:rsidRPr="00ED59BD">
        <w:t>0ms mobility interruption in NR</w:t>
      </w:r>
      <w:r w:rsidRPr="006212EC">
        <w:t>, Huawei, 3GPP TSG-RAN WG2 #96, Reno, Nevada, USA, 14th – 18th November 2016.</w:t>
      </w:r>
      <w:bookmarkEnd w:id="144"/>
      <w:bookmarkEnd w:id="146"/>
    </w:p>
    <w:p w14:paraId="4DEE37C6" w14:textId="2C05C2C0" w:rsidR="00C14090" w:rsidRDefault="00C14090" w:rsidP="00C14090">
      <w:pPr>
        <w:pStyle w:val="Reference"/>
      </w:pPr>
      <w:bookmarkStart w:id="147" w:name="_Ref473895036"/>
      <w:r>
        <w:t xml:space="preserve">R2-168986, </w:t>
      </w:r>
      <w:r w:rsidRPr="00C14090">
        <w:t>Report from LTE Break-Out session (eVoLTE, Light conn, Mobility enh, eMBMS)</w:t>
      </w:r>
      <w:r>
        <w:t xml:space="preserve">, </w:t>
      </w:r>
      <w:r w:rsidRPr="006212EC">
        <w:t>TSG-RAN WG2 #96, Reno, Nevada, USA, 14th – 18th November 2016.</w:t>
      </w:r>
      <w:bookmarkEnd w:id="147"/>
    </w:p>
    <w:p w14:paraId="269954DA" w14:textId="77777777" w:rsidR="00ED59BD" w:rsidRPr="006212EC" w:rsidRDefault="00ED59BD" w:rsidP="00D00AE7"/>
    <w:sectPr w:rsidR="00ED59BD" w:rsidRPr="006212EC">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5520AB" w14:textId="77777777" w:rsidR="00F426D7" w:rsidRDefault="00F426D7">
      <w:r>
        <w:separator/>
      </w:r>
    </w:p>
  </w:endnote>
  <w:endnote w:type="continuationSeparator" w:id="0">
    <w:p w14:paraId="3528001B" w14:textId="77777777" w:rsidR="00F426D7" w:rsidRDefault="00F426D7">
      <w:r>
        <w:continuationSeparator/>
      </w:r>
    </w:p>
  </w:endnote>
  <w:endnote w:type="continuationNotice" w:id="1">
    <w:p w14:paraId="32A6F168" w14:textId="77777777" w:rsidR="00F426D7" w:rsidRDefault="00F426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D610BD" w14:textId="72C7544F" w:rsidR="00F426D7" w:rsidRDefault="00F426D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E4349">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E4349">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68D4B0" w14:textId="77777777" w:rsidR="00F426D7" w:rsidRDefault="00F426D7">
      <w:r>
        <w:separator/>
      </w:r>
    </w:p>
  </w:footnote>
  <w:footnote w:type="continuationSeparator" w:id="0">
    <w:p w14:paraId="7C3F4FC1" w14:textId="77777777" w:rsidR="00F426D7" w:rsidRDefault="00F426D7">
      <w:r>
        <w:continuationSeparator/>
      </w:r>
    </w:p>
  </w:footnote>
  <w:footnote w:type="continuationNotice" w:id="1">
    <w:p w14:paraId="6E32DA72" w14:textId="77777777" w:rsidR="00F426D7" w:rsidRDefault="00F426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AAF45" w14:textId="77777777" w:rsidR="00F426D7" w:rsidRDefault="00F426D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A48B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4AAF9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9226502"/>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971"/>
        </w:tabs>
        <w:ind w:left="4971"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6DC105B"/>
    <w:multiLevelType w:val="hybridMultilevel"/>
    <w:tmpl w:val="32C059C6"/>
    <w:lvl w:ilvl="0" w:tplc="EE3E6E98">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5" w15:restartNumberingAfterBreak="0">
    <w:nsid w:val="307A7355"/>
    <w:multiLevelType w:val="hybridMultilevel"/>
    <w:tmpl w:val="71E25476"/>
    <w:lvl w:ilvl="0" w:tplc="6F4EA73E">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4F8E60D0"/>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6D5C1A"/>
    <w:multiLevelType w:val="hybridMultilevel"/>
    <w:tmpl w:val="E5D6C3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A846927"/>
    <w:multiLevelType w:val="hybridMultilevel"/>
    <w:tmpl w:val="B1EC543E"/>
    <w:lvl w:ilvl="0" w:tplc="6324F0E2">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3"/>
  </w:num>
  <w:num w:numId="2">
    <w:abstractNumId w:val="11"/>
  </w:num>
  <w:num w:numId="3">
    <w:abstractNumId w:val="8"/>
  </w:num>
  <w:num w:numId="4">
    <w:abstractNumId w:val="9"/>
  </w:num>
  <w:num w:numId="5">
    <w:abstractNumId w:val="6"/>
  </w:num>
  <w:num w:numId="6">
    <w:abstractNumId w:val="10"/>
  </w:num>
  <w:num w:numId="7">
    <w:abstractNumId w:val="15"/>
  </w:num>
  <w:num w:numId="8">
    <w:abstractNumId w:val="7"/>
  </w:num>
  <w:num w:numId="9">
    <w:abstractNumId w:val="12"/>
  </w:num>
  <w:num w:numId="10">
    <w:abstractNumId w:val="14"/>
  </w:num>
  <w:num w:numId="11">
    <w:abstractNumId w:val="8"/>
  </w:num>
  <w:num w:numId="12">
    <w:abstractNumId w:val="8"/>
    <w:lvlOverride w:ilvl="0">
      <w:startOverride w:val="1"/>
    </w:lvlOverride>
  </w:num>
  <w:num w:numId="13">
    <w:abstractNumId w:val="12"/>
  </w:num>
  <w:num w:numId="14">
    <w:abstractNumId w:val="12"/>
    <w:lvlOverride w:ilvl="0">
      <w:startOverride w:val="1"/>
    </w:lvlOverride>
  </w:num>
  <w:num w:numId="15">
    <w:abstractNumId w:val="4"/>
  </w:num>
  <w:num w:numId="16">
    <w:abstractNumId w:val="2"/>
  </w:num>
  <w:num w:numId="17">
    <w:abstractNumId w:val="1"/>
  </w:num>
  <w:num w:numId="18">
    <w:abstractNumId w:val="0"/>
  </w:num>
  <w:num w:numId="19">
    <w:abstractNumId w:val="16"/>
  </w:num>
  <w:num w:numId="20">
    <w:abstractNumId w:val="13"/>
  </w:num>
  <w:num w:numId="21">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fi-FI"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601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6E1"/>
    <w:rsid w:val="00002A37"/>
    <w:rsid w:val="000032F4"/>
    <w:rsid w:val="00006446"/>
    <w:rsid w:val="00006896"/>
    <w:rsid w:val="00006A35"/>
    <w:rsid w:val="00006F31"/>
    <w:rsid w:val="00007CDC"/>
    <w:rsid w:val="000107BA"/>
    <w:rsid w:val="000107E0"/>
    <w:rsid w:val="00011B28"/>
    <w:rsid w:val="00012CA8"/>
    <w:rsid w:val="00013693"/>
    <w:rsid w:val="00013B5C"/>
    <w:rsid w:val="00015D15"/>
    <w:rsid w:val="00022A0A"/>
    <w:rsid w:val="00023678"/>
    <w:rsid w:val="0002564D"/>
    <w:rsid w:val="00025ECA"/>
    <w:rsid w:val="000325B8"/>
    <w:rsid w:val="00034C15"/>
    <w:rsid w:val="000362EB"/>
    <w:rsid w:val="00036623"/>
    <w:rsid w:val="00036BA1"/>
    <w:rsid w:val="0004033B"/>
    <w:rsid w:val="00040EC9"/>
    <w:rsid w:val="000422E2"/>
    <w:rsid w:val="00042F22"/>
    <w:rsid w:val="0004395C"/>
    <w:rsid w:val="000444EF"/>
    <w:rsid w:val="00047A77"/>
    <w:rsid w:val="00047D10"/>
    <w:rsid w:val="00052A07"/>
    <w:rsid w:val="00053232"/>
    <w:rsid w:val="000534E3"/>
    <w:rsid w:val="000539BE"/>
    <w:rsid w:val="000545D5"/>
    <w:rsid w:val="00055BC1"/>
    <w:rsid w:val="0005606A"/>
    <w:rsid w:val="00057117"/>
    <w:rsid w:val="000609B7"/>
    <w:rsid w:val="000616E7"/>
    <w:rsid w:val="0006256A"/>
    <w:rsid w:val="0006291C"/>
    <w:rsid w:val="0006487E"/>
    <w:rsid w:val="00064BD2"/>
    <w:rsid w:val="00065E1A"/>
    <w:rsid w:val="000668D7"/>
    <w:rsid w:val="0007040C"/>
    <w:rsid w:val="00070FBD"/>
    <w:rsid w:val="00077E5F"/>
    <w:rsid w:val="0008036A"/>
    <w:rsid w:val="00081AE6"/>
    <w:rsid w:val="00085598"/>
    <w:rsid w:val="000855EB"/>
    <w:rsid w:val="00085B52"/>
    <w:rsid w:val="000866F2"/>
    <w:rsid w:val="0009009F"/>
    <w:rsid w:val="000903F3"/>
    <w:rsid w:val="00090CCA"/>
    <w:rsid w:val="00091557"/>
    <w:rsid w:val="000924C1"/>
    <w:rsid w:val="000924F0"/>
    <w:rsid w:val="000925CC"/>
    <w:rsid w:val="00093474"/>
    <w:rsid w:val="000936DE"/>
    <w:rsid w:val="0009510F"/>
    <w:rsid w:val="00095383"/>
    <w:rsid w:val="00097A6F"/>
    <w:rsid w:val="000A0AFD"/>
    <w:rsid w:val="000A1B7B"/>
    <w:rsid w:val="000A36C3"/>
    <w:rsid w:val="000A4D6D"/>
    <w:rsid w:val="000A56F2"/>
    <w:rsid w:val="000A6206"/>
    <w:rsid w:val="000A6713"/>
    <w:rsid w:val="000B1CF6"/>
    <w:rsid w:val="000B2719"/>
    <w:rsid w:val="000B3A8F"/>
    <w:rsid w:val="000B3D90"/>
    <w:rsid w:val="000B4AB9"/>
    <w:rsid w:val="000B4D64"/>
    <w:rsid w:val="000B58C3"/>
    <w:rsid w:val="000B61E9"/>
    <w:rsid w:val="000B6725"/>
    <w:rsid w:val="000C038F"/>
    <w:rsid w:val="000C165A"/>
    <w:rsid w:val="000C27C5"/>
    <w:rsid w:val="000C2E19"/>
    <w:rsid w:val="000C53C9"/>
    <w:rsid w:val="000C5B7B"/>
    <w:rsid w:val="000C668F"/>
    <w:rsid w:val="000C7397"/>
    <w:rsid w:val="000D0D07"/>
    <w:rsid w:val="000D2D69"/>
    <w:rsid w:val="000D4797"/>
    <w:rsid w:val="000D6C88"/>
    <w:rsid w:val="000E0527"/>
    <w:rsid w:val="000E1E92"/>
    <w:rsid w:val="000E41B4"/>
    <w:rsid w:val="000E45C0"/>
    <w:rsid w:val="000E525A"/>
    <w:rsid w:val="000F06D6"/>
    <w:rsid w:val="000F0EB1"/>
    <w:rsid w:val="000F1106"/>
    <w:rsid w:val="000F3BE9"/>
    <w:rsid w:val="000F3F6C"/>
    <w:rsid w:val="000F6384"/>
    <w:rsid w:val="000F6DF3"/>
    <w:rsid w:val="001005FF"/>
    <w:rsid w:val="00100F45"/>
    <w:rsid w:val="00104171"/>
    <w:rsid w:val="00105819"/>
    <w:rsid w:val="00105AE4"/>
    <w:rsid w:val="001062FB"/>
    <w:rsid w:val="001063E6"/>
    <w:rsid w:val="001078B8"/>
    <w:rsid w:val="00110233"/>
    <w:rsid w:val="00110D70"/>
    <w:rsid w:val="001112D9"/>
    <w:rsid w:val="00112186"/>
    <w:rsid w:val="00112AC9"/>
    <w:rsid w:val="00113CF4"/>
    <w:rsid w:val="001151B3"/>
    <w:rsid w:val="001153EA"/>
    <w:rsid w:val="00115643"/>
    <w:rsid w:val="001163DE"/>
    <w:rsid w:val="001165DF"/>
    <w:rsid w:val="00116765"/>
    <w:rsid w:val="001219F5"/>
    <w:rsid w:val="00121A20"/>
    <w:rsid w:val="0012377F"/>
    <w:rsid w:val="00124314"/>
    <w:rsid w:val="00124A3F"/>
    <w:rsid w:val="00125460"/>
    <w:rsid w:val="00126690"/>
    <w:rsid w:val="00126B4A"/>
    <w:rsid w:val="001279D3"/>
    <w:rsid w:val="00127C27"/>
    <w:rsid w:val="00132FD0"/>
    <w:rsid w:val="001344C0"/>
    <w:rsid w:val="001346FA"/>
    <w:rsid w:val="00135252"/>
    <w:rsid w:val="00137728"/>
    <w:rsid w:val="00137AB5"/>
    <w:rsid w:val="00137F0B"/>
    <w:rsid w:val="0014204C"/>
    <w:rsid w:val="00142920"/>
    <w:rsid w:val="00142A30"/>
    <w:rsid w:val="00143008"/>
    <w:rsid w:val="00143981"/>
    <w:rsid w:val="00145EE7"/>
    <w:rsid w:val="0014787F"/>
    <w:rsid w:val="001501DF"/>
    <w:rsid w:val="00151E23"/>
    <w:rsid w:val="001526E0"/>
    <w:rsid w:val="001551B5"/>
    <w:rsid w:val="00161D58"/>
    <w:rsid w:val="00161F69"/>
    <w:rsid w:val="00162B29"/>
    <w:rsid w:val="00163A80"/>
    <w:rsid w:val="001659C1"/>
    <w:rsid w:val="0016637B"/>
    <w:rsid w:val="00166D22"/>
    <w:rsid w:val="00173A8E"/>
    <w:rsid w:val="00177587"/>
    <w:rsid w:val="0018143F"/>
    <w:rsid w:val="00185F5D"/>
    <w:rsid w:val="00190AC1"/>
    <w:rsid w:val="0019341A"/>
    <w:rsid w:val="001955A4"/>
    <w:rsid w:val="0019775B"/>
    <w:rsid w:val="00197DF9"/>
    <w:rsid w:val="001A1987"/>
    <w:rsid w:val="001A2291"/>
    <w:rsid w:val="001A2564"/>
    <w:rsid w:val="001A2B06"/>
    <w:rsid w:val="001A3BA2"/>
    <w:rsid w:val="001A4BB3"/>
    <w:rsid w:val="001A6173"/>
    <w:rsid w:val="001A65E5"/>
    <w:rsid w:val="001A6CBA"/>
    <w:rsid w:val="001B0D97"/>
    <w:rsid w:val="001B2934"/>
    <w:rsid w:val="001B3C87"/>
    <w:rsid w:val="001B50C1"/>
    <w:rsid w:val="001B5A5D"/>
    <w:rsid w:val="001B644E"/>
    <w:rsid w:val="001C1CE5"/>
    <w:rsid w:val="001C3D2A"/>
    <w:rsid w:val="001C3F8B"/>
    <w:rsid w:val="001C4EEE"/>
    <w:rsid w:val="001D0E26"/>
    <w:rsid w:val="001D19BC"/>
    <w:rsid w:val="001D20C3"/>
    <w:rsid w:val="001D2642"/>
    <w:rsid w:val="001D3049"/>
    <w:rsid w:val="001D51BA"/>
    <w:rsid w:val="001D61A9"/>
    <w:rsid w:val="001D6342"/>
    <w:rsid w:val="001D6D53"/>
    <w:rsid w:val="001E0114"/>
    <w:rsid w:val="001E58E2"/>
    <w:rsid w:val="001E7AED"/>
    <w:rsid w:val="001F0508"/>
    <w:rsid w:val="001F2689"/>
    <w:rsid w:val="001F3526"/>
    <w:rsid w:val="001F3916"/>
    <w:rsid w:val="001F54C5"/>
    <w:rsid w:val="001F662C"/>
    <w:rsid w:val="001F7074"/>
    <w:rsid w:val="00200490"/>
    <w:rsid w:val="00201F3A"/>
    <w:rsid w:val="00202D8D"/>
    <w:rsid w:val="00203F96"/>
    <w:rsid w:val="002069B2"/>
    <w:rsid w:val="00207FA3"/>
    <w:rsid w:val="0021200B"/>
    <w:rsid w:val="00214DA8"/>
    <w:rsid w:val="00215423"/>
    <w:rsid w:val="002158FA"/>
    <w:rsid w:val="00220600"/>
    <w:rsid w:val="00221E26"/>
    <w:rsid w:val="002224DB"/>
    <w:rsid w:val="00223FCB"/>
    <w:rsid w:val="002252C3"/>
    <w:rsid w:val="00225C54"/>
    <w:rsid w:val="00230765"/>
    <w:rsid w:val="00230D6D"/>
    <w:rsid w:val="002319E4"/>
    <w:rsid w:val="00235632"/>
    <w:rsid w:val="00235872"/>
    <w:rsid w:val="002360EF"/>
    <w:rsid w:val="00236BF5"/>
    <w:rsid w:val="002408E7"/>
    <w:rsid w:val="00241559"/>
    <w:rsid w:val="002419A2"/>
    <w:rsid w:val="00241DCE"/>
    <w:rsid w:val="002435B3"/>
    <w:rsid w:val="0024538F"/>
    <w:rsid w:val="002458EB"/>
    <w:rsid w:val="00247B83"/>
    <w:rsid w:val="002500C8"/>
    <w:rsid w:val="002518D0"/>
    <w:rsid w:val="00253D86"/>
    <w:rsid w:val="00254519"/>
    <w:rsid w:val="00255D91"/>
    <w:rsid w:val="00256F11"/>
    <w:rsid w:val="00257543"/>
    <w:rsid w:val="002617E7"/>
    <w:rsid w:val="00262FE7"/>
    <w:rsid w:val="002636CE"/>
    <w:rsid w:val="00264228"/>
    <w:rsid w:val="00264334"/>
    <w:rsid w:val="0026473E"/>
    <w:rsid w:val="00266214"/>
    <w:rsid w:val="00267C83"/>
    <w:rsid w:val="0027144F"/>
    <w:rsid w:val="00271899"/>
    <w:rsid w:val="00271F3A"/>
    <w:rsid w:val="002724CD"/>
    <w:rsid w:val="00273278"/>
    <w:rsid w:val="002737F4"/>
    <w:rsid w:val="0027677C"/>
    <w:rsid w:val="00276EF5"/>
    <w:rsid w:val="002803A6"/>
    <w:rsid w:val="002805F5"/>
    <w:rsid w:val="00280751"/>
    <w:rsid w:val="00280953"/>
    <w:rsid w:val="0028280A"/>
    <w:rsid w:val="002828DA"/>
    <w:rsid w:val="00285698"/>
    <w:rsid w:val="00286ACD"/>
    <w:rsid w:val="00287838"/>
    <w:rsid w:val="002907B5"/>
    <w:rsid w:val="00292EB7"/>
    <w:rsid w:val="00295E23"/>
    <w:rsid w:val="00296227"/>
    <w:rsid w:val="00296F44"/>
    <w:rsid w:val="0029777D"/>
    <w:rsid w:val="002A055E"/>
    <w:rsid w:val="002A1D4E"/>
    <w:rsid w:val="002A2869"/>
    <w:rsid w:val="002A780A"/>
    <w:rsid w:val="002B0D5D"/>
    <w:rsid w:val="002B24D6"/>
    <w:rsid w:val="002B279F"/>
    <w:rsid w:val="002C03FC"/>
    <w:rsid w:val="002C41E6"/>
    <w:rsid w:val="002C4A32"/>
    <w:rsid w:val="002C4DED"/>
    <w:rsid w:val="002C52C8"/>
    <w:rsid w:val="002C5DF4"/>
    <w:rsid w:val="002C628A"/>
    <w:rsid w:val="002D071A"/>
    <w:rsid w:val="002D34B2"/>
    <w:rsid w:val="002D389F"/>
    <w:rsid w:val="002D3E97"/>
    <w:rsid w:val="002D5F0F"/>
    <w:rsid w:val="002D7637"/>
    <w:rsid w:val="002E17F2"/>
    <w:rsid w:val="002E6860"/>
    <w:rsid w:val="002E68BB"/>
    <w:rsid w:val="002E7CAE"/>
    <w:rsid w:val="002F183B"/>
    <w:rsid w:val="002F19CA"/>
    <w:rsid w:val="002F1FDB"/>
    <w:rsid w:val="002F2771"/>
    <w:rsid w:val="002F37A9"/>
    <w:rsid w:val="002F4673"/>
    <w:rsid w:val="00301CE6"/>
    <w:rsid w:val="0030256B"/>
    <w:rsid w:val="0030501F"/>
    <w:rsid w:val="00307BA1"/>
    <w:rsid w:val="00311702"/>
    <w:rsid w:val="00311E82"/>
    <w:rsid w:val="003134E6"/>
    <w:rsid w:val="00313FD6"/>
    <w:rsid w:val="003140FC"/>
    <w:rsid w:val="003143BD"/>
    <w:rsid w:val="003146A7"/>
    <w:rsid w:val="00314DCF"/>
    <w:rsid w:val="0031532B"/>
    <w:rsid w:val="00316786"/>
    <w:rsid w:val="003203ED"/>
    <w:rsid w:val="00320E95"/>
    <w:rsid w:val="0032131B"/>
    <w:rsid w:val="00322C9F"/>
    <w:rsid w:val="0032460C"/>
    <w:rsid w:val="00324D23"/>
    <w:rsid w:val="00325B2D"/>
    <w:rsid w:val="003314DF"/>
    <w:rsid w:val="0033158C"/>
    <w:rsid w:val="00331751"/>
    <w:rsid w:val="003318A2"/>
    <w:rsid w:val="00334579"/>
    <w:rsid w:val="00335858"/>
    <w:rsid w:val="00336BDA"/>
    <w:rsid w:val="003410A0"/>
    <w:rsid w:val="00342386"/>
    <w:rsid w:val="00342681"/>
    <w:rsid w:val="00342BD7"/>
    <w:rsid w:val="003450B7"/>
    <w:rsid w:val="00346DB5"/>
    <w:rsid w:val="003477B1"/>
    <w:rsid w:val="003509CA"/>
    <w:rsid w:val="00356C79"/>
    <w:rsid w:val="00357380"/>
    <w:rsid w:val="003602D9"/>
    <w:rsid w:val="003604CE"/>
    <w:rsid w:val="00360BBF"/>
    <w:rsid w:val="00360BF8"/>
    <w:rsid w:val="003624DC"/>
    <w:rsid w:val="00370E47"/>
    <w:rsid w:val="003739CE"/>
    <w:rsid w:val="003742AC"/>
    <w:rsid w:val="00375476"/>
    <w:rsid w:val="00377CE1"/>
    <w:rsid w:val="00381B3C"/>
    <w:rsid w:val="00382550"/>
    <w:rsid w:val="00384C7B"/>
    <w:rsid w:val="00385BF0"/>
    <w:rsid w:val="00390400"/>
    <w:rsid w:val="0039066C"/>
    <w:rsid w:val="00390776"/>
    <w:rsid w:val="003939FF"/>
    <w:rsid w:val="003953CE"/>
    <w:rsid w:val="003965A4"/>
    <w:rsid w:val="003977DD"/>
    <w:rsid w:val="003A0B73"/>
    <w:rsid w:val="003A2223"/>
    <w:rsid w:val="003A2A0F"/>
    <w:rsid w:val="003A33C1"/>
    <w:rsid w:val="003A45A1"/>
    <w:rsid w:val="003A528B"/>
    <w:rsid w:val="003A5B0A"/>
    <w:rsid w:val="003A5F8C"/>
    <w:rsid w:val="003A6BAC"/>
    <w:rsid w:val="003A6F87"/>
    <w:rsid w:val="003A7EF3"/>
    <w:rsid w:val="003B159C"/>
    <w:rsid w:val="003B369F"/>
    <w:rsid w:val="003B36A3"/>
    <w:rsid w:val="003B7FE5"/>
    <w:rsid w:val="003C11C8"/>
    <w:rsid w:val="003C126C"/>
    <w:rsid w:val="003C1B54"/>
    <w:rsid w:val="003C2702"/>
    <w:rsid w:val="003C3D9A"/>
    <w:rsid w:val="003C4CE3"/>
    <w:rsid w:val="003C57D2"/>
    <w:rsid w:val="003C5A60"/>
    <w:rsid w:val="003C672E"/>
    <w:rsid w:val="003C67C9"/>
    <w:rsid w:val="003C7806"/>
    <w:rsid w:val="003D109F"/>
    <w:rsid w:val="003D2478"/>
    <w:rsid w:val="003D3754"/>
    <w:rsid w:val="003D3C45"/>
    <w:rsid w:val="003D5B1F"/>
    <w:rsid w:val="003E0370"/>
    <w:rsid w:val="003E0ECA"/>
    <w:rsid w:val="003E15FA"/>
    <w:rsid w:val="003E208B"/>
    <w:rsid w:val="003E55E4"/>
    <w:rsid w:val="003E5BC0"/>
    <w:rsid w:val="003E74E3"/>
    <w:rsid w:val="003F05C7"/>
    <w:rsid w:val="003F19B5"/>
    <w:rsid w:val="003F2CD4"/>
    <w:rsid w:val="003F49BD"/>
    <w:rsid w:val="003F5688"/>
    <w:rsid w:val="003F6BBE"/>
    <w:rsid w:val="004000E8"/>
    <w:rsid w:val="00400A95"/>
    <w:rsid w:val="00401676"/>
    <w:rsid w:val="00402397"/>
    <w:rsid w:val="00402E2B"/>
    <w:rsid w:val="00402F32"/>
    <w:rsid w:val="0040512B"/>
    <w:rsid w:val="00405CA5"/>
    <w:rsid w:val="00407AB5"/>
    <w:rsid w:val="00407CD3"/>
    <w:rsid w:val="00410134"/>
    <w:rsid w:val="00410B72"/>
    <w:rsid w:val="00410F18"/>
    <w:rsid w:val="004117A3"/>
    <w:rsid w:val="0041263E"/>
    <w:rsid w:val="00413AAC"/>
    <w:rsid w:val="00416413"/>
    <w:rsid w:val="00416FBD"/>
    <w:rsid w:val="00417FF2"/>
    <w:rsid w:val="00420D77"/>
    <w:rsid w:val="00421105"/>
    <w:rsid w:val="00421838"/>
    <w:rsid w:val="00422D9C"/>
    <w:rsid w:val="004242F4"/>
    <w:rsid w:val="00427248"/>
    <w:rsid w:val="004306B1"/>
    <w:rsid w:val="00433661"/>
    <w:rsid w:val="004358F0"/>
    <w:rsid w:val="00437447"/>
    <w:rsid w:val="00441A92"/>
    <w:rsid w:val="004428EF"/>
    <w:rsid w:val="0044389B"/>
    <w:rsid w:val="00444F56"/>
    <w:rsid w:val="0044528E"/>
    <w:rsid w:val="00446488"/>
    <w:rsid w:val="004472AE"/>
    <w:rsid w:val="004517AA"/>
    <w:rsid w:val="00452CAC"/>
    <w:rsid w:val="00452E9A"/>
    <w:rsid w:val="00454DAD"/>
    <w:rsid w:val="00454EF1"/>
    <w:rsid w:val="0045662C"/>
    <w:rsid w:val="004568FA"/>
    <w:rsid w:val="00457565"/>
    <w:rsid w:val="00457B71"/>
    <w:rsid w:val="00457E61"/>
    <w:rsid w:val="004669E2"/>
    <w:rsid w:val="00470C31"/>
    <w:rsid w:val="004734D0"/>
    <w:rsid w:val="0047475A"/>
    <w:rsid w:val="00474AFA"/>
    <w:rsid w:val="0047556B"/>
    <w:rsid w:val="00477768"/>
    <w:rsid w:val="00483BB6"/>
    <w:rsid w:val="00484FA6"/>
    <w:rsid w:val="004858BD"/>
    <w:rsid w:val="00486ACF"/>
    <w:rsid w:val="0049285A"/>
    <w:rsid w:val="00492BC5"/>
    <w:rsid w:val="00493F5E"/>
    <w:rsid w:val="004944BC"/>
    <w:rsid w:val="004964F1"/>
    <w:rsid w:val="00497F83"/>
    <w:rsid w:val="004A1013"/>
    <w:rsid w:val="004A16BC"/>
    <w:rsid w:val="004A2B94"/>
    <w:rsid w:val="004A3021"/>
    <w:rsid w:val="004A4F57"/>
    <w:rsid w:val="004A7D56"/>
    <w:rsid w:val="004B72BA"/>
    <w:rsid w:val="004B7C0C"/>
    <w:rsid w:val="004C0EC9"/>
    <w:rsid w:val="004C379F"/>
    <w:rsid w:val="004C3898"/>
    <w:rsid w:val="004C7E2C"/>
    <w:rsid w:val="004D1994"/>
    <w:rsid w:val="004D1D03"/>
    <w:rsid w:val="004D1E06"/>
    <w:rsid w:val="004D2DF9"/>
    <w:rsid w:val="004D2E7A"/>
    <w:rsid w:val="004D36B1"/>
    <w:rsid w:val="004D3C14"/>
    <w:rsid w:val="004D4070"/>
    <w:rsid w:val="004D7EBD"/>
    <w:rsid w:val="004E09C9"/>
    <w:rsid w:val="004E1AF8"/>
    <w:rsid w:val="004E2680"/>
    <w:rsid w:val="004E28F9"/>
    <w:rsid w:val="004E2930"/>
    <w:rsid w:val="004E2BB4"/>
    <w:rsid w:val="004E462E"/>
    <w:rsid w:val="004E56DC"/>
    <w:rsid w:val="004E76F4"/>
    <w:rsid w:val="004F05B5"/>
    <w:rsid w:val="004F0B4E"/>
    <w:rsid w:val="004F0B6C"/>
    <w:rsid w:val="004F14EE"/>
    <w:rsid w:val="004F2078"/>
    <w:rsid w:val="004F4DA3"/>
    <w:rsid w:val="004F5951"/>
    <w:rsid w:val="004F6FE0"/>
    <w:rsid w:val="004F72FC"/>
    <w:rsid w:val="004F7BF1"/>
    <w:rsid w:val="00506557"/>
    <w:rsid w:val="0050677A"/>
    <w:rsid w:val="005108D8"/>
    <w:rsid w:val="005116F9"/>
    <w:rsid w:val="00511894"/>
    <w:rsid w:val="00512AB7"/>
    <w:rsid w:val="0051473E"/>
    <w:rsid w:val="00514FF8"/>
    <w:rsid w:val="005153A7"/>
    <w:rsid w:val="00517AD0"/>
    <w:rsid w:val="00517AE9"/>
    <w:rsid w:val="00520159"/>
    <w:rsid w:val="00520D36"/>
    <w:rsid w:val="005219CF"/>
    <w:rsid w:val="00523A7A"/>
    <w:rsid w:val="00524B34"/>
    <w:rsid w:val="00527027"/>
    <w:rsid w:val="00527C2A"/>
    <w:rsid w:val="00530FD1"/>
    <w:rsid w:val="00532A9D"/>
    <w:rsid w:val="00532CBD"/>
    <w:rsid w:val="00534084"/>
    <w:rsid w:val="0053480B"/>
    <w:rsid w:val="00534B59"/>
    <w:rsid w:val="0053651D"/>
    <w:rsid w:val="00536759"/>
    <w:rsid w:val="00537C62"/>
    <w:rsid w:val="005449D6"/>
    <w:rsid w:val="00546706"/>
    <w:rsid w:val="00546970"/>
    <w:rsid w:val="00547D9C"/>
    <w:rsid w:val="0055231F"/>
    <w:rsid w:val="00554E19"/>
    <w:rsid w:val="0056121F"/>
    <w:rsid w:val="005614CE"/>
    <w:rsid w:val="00562357"/>
    <w:rsid w:val="00565488"/>
    <w:rsid w:val="00572505"/>
    <w:rsid w:val="005743A5"/>
    <w:rsid w:val="00581AF0"/>
    <w:rsid w:val="00582809"/>
    <w:rsid w:val="00582A75"/>
    <w:rsid w:val="0058798C"/>
    <w:rsid w:val="00587FA9"/>
    <w:rsid w:val="005900FA"/>
    <w:rsid w:val="005935A4"/>
    <w:rsid w:val="00593BE6"/>
    <w:rsid w:val="00594066"/>
    <w:rsid w:val="005948C2"/>
    <w:rsid w:val="00595DCA"/>
    <w:rsid w:val="0059779B"/>
    <w:rsid w:val="005A1727"/>
    <w:rsid w:val="005A209A"/>
    <w:rsid w:val="005A288A"/>
    <w:rsid w:val="005A662D"/>
    <w:rsid w:val="005A6665"/>
    <w:rsid w:val="005A68BA"/>
    <w:rsid w:val="005B04A1"/>
    <w:rsid w:val="005B1CDF"/>
    <w:rsid w:val="005B35D7"/>
    <w:rsid w:val="005B392A"/>
    <w:rsid w:val="005B3AA3"/>
    <w:rsid w:val="005B6146"/>
    <w:rsid w:val="005B6F83"/>
    <w:rsid w:val="005B7576"/>
    <w:rsid w:val="005B7F73"/>
    <w:rsid w:val="005C1729"/>
    <w:rsid w:val="005C417D"/>
    <w:rsid w:val="005C6EB3"/>
    <w:rsid w:val="005C74FB"/>
    <w:rsid w:val="005D068F"/>
    <w:rsid w:val="005D1602"/>
    <w:rsid w:val="005D21D5"/>
    <w:rsid w:val="005D321D"/>
    <w:rsid w:val="005D3C37"/>
    <w:rsid w:val="005D6345"/>
    <w:rsid w:val="005D6F32"/>
    <w:rsid w:val="005E1503"/>
    <w:rsid w:val="005E385F"/>
    <w:rsid w:val="005E3CCA"/>
    <w:rsid w:val="005E42E8"/>
    <w:rsid w:val="005E485E"/>
    <w:rsid w:val="005E5834"/>
    <w:rsid w:val="005E5B81"/>
    <w:rsid w:val="005F01CF"/>
    <w:rsid w:val="005F0B7E"/>
    <w:rsid w:val="005F132F"/>
    <w:rsid w:val="005F21EC"/>
    <w:rsid w:val="005F2CB1"/>
    <w:rsid w:val="005F3025"/>
    <w:rsid w:val="005F618C"/>
    <w:rsid w:val="005F70BD"/>
    <w:rsid w:val="00600F6A"/>
    <w:rsid w:val="006010AD"/>
    <w:rsid w:val="0060283C"/>
    <w:rsid w:val="0060336F"/>
    <w:rsid w:val="00604F14"/>
    <w:rsid w:val="00604FE7"/>
    <w:rsid w:val="00605A3D"/>
    <w:rsid w:val="00605BE1"/>
    <w:rsid w:val="00611AB7"/>
    <w:rsid w:val="00611B83"/>
    <w:rsid w:val="00613257"/>
    <w:rsid w:val="00615440"/>
    <w:rsid w:val="00615B9D"/>
    <w:rsid w:val="00620A71"/>
    <w:rsid w:val="00620D80"/>
    <w:rsid w:val="006212EC"/>
    <w:rsid w:val="006234A6"/>
    <w:rsid w:val="00623923"/>
    <w:rsid w:val="00627BFA"/>
    <w:rsid w:val="00630001"/>
    <w:rsid w:val="006311B3"/>
    <w:rsid w:val="006319BD"/>
    <w:rsid w:val="00631F81"/>
    <w:rsid w:val="0063284C"/>
    <w:rsid w:val="00635E5D"/>
    <w:rsid w:val="00636398"/>
    <w:rsid w:val="006368D3"/>
    <w:rsid w:val="006377EC"/>
    <w:rsid w:val="0064151F"/>
    <w:rsid w:val="00641533"/>
    <w:rsid w:val="00641658"/>
    <w:rsid w:val="00641D36"/>
    <w:rsid w:val="0064208D"/>
    <w:rsid w:val="00642672"/>
    <w:rsid w:val="00643475"/>
    <w:rsid w:val="0064396A"/>
    <w:rsid w:val="00643A78"/>
    <w:rsid w:val="00644194"/>
    <w:rsid w:val="00644F5F"/>
    <w:rsid w:val="00645491"/>
    <w:rsid w:val="00645B40"/>
    <w:rsid w:val="0064624E"/>
    <w:rsid w:val="006479BA"/>
    <w:rsid w:val="00650AB9"/>
    <w:rsid w:val="0065154C"/>
    <w:rsid w:val="00655733"/>
    <w:rsid w:val="00655ACD"/>
    <w:rsid w:val="00656A92"/>
    <w:rsid w:val="00656DDE"/>
    <w:rsid w:val="00656EB3"/>
    <w:rsid w:val="0066011D"/>
    <w:rsid w:val="00660316"/>
    <w:rsid w:val="006607C0"/>
    <w:rsid w:val="006613A6"/>
    <w:rsid w:val="006627A2"/>
    <w:rsid w:val="006634E6"/>
    <w:rsid w:val="00664477"/>
    <w:rsid w:val="00664AC0"/>
    <w:rsid w:val="006655EE"/>
    <w:rsid w:val="00666AC3"/>
    <w:rsid w:val="00667025"/>
    <w:rsid w:val="00667EE7"/>
    <w:rsid w:val="00670922"/>
    <w:rsid w:val="00670BE1"/>
    <w:rsid w:val="0067218F"/>
    <w:rsid w:val="006741F2"/>
    <w:rsid w:val="00674B78"/>
    <w:rsid w:val="00674CC3"/>
    <w:rsid w:val="00675C72"/>
    <w:rsid w:val="0067711A"/>
    <w:rsid w:val="006771F9"/>
    <w:rsid w:val="006772BF"/>
    <w:rsid w:val="00677568"/>
    <w:rsid w:val="006776D7"/>
    <w:rsid w:val="00681003"/>
    <w:rsid w:val="006817C9"/>
    <w:rsid w:val="00683ECE"/>
    <w:rsid w:val="006923C0"/>
    <w:rsid w:val="00695363"/>
    <w:rsid w:val="00695FC2"/>
    <w:rsid w:val="006967F7"/>
    <w:rsid w:val="00696949"/>
    <w:rsid w:val="00697052"/>
    <w:rsid w:val="006A328D"/>
    <w:rsid w:val="006A46FB"/>
    <w:rsid w:val="006A5BC7"/>
    <w:rsid w:val="006A5E28"/>
    <w:rsid w:val="006A697B"/>
    <w:rsid w:val="006A7AFF"/>
    <w:rsid w:val="006B0BB5"/>
    <w:rsid w:val="006B1816"/>
    <w:rsid w:val="006B2099"/>
    <w:rsid w:val="006B50CF"/>
    <w:rsid w:val="006B52AC"/>
    <w:rsid w:val="006C03B8"/>
    <w:rsid w:val="006C14EE"/>
    <w:rsid w:val="006C4D91"/>
    <w:rsid w:val="006C5187"/>
    <w:rsid w:val="006C5ABD"/>
    <w:rsid w:val="006C5EC9"/>
    <w:rsid w:val="006C6059"/>
    <w:rsid w:val="006C6D9A"/>
    <w:rsid w:val="006C7522"/>
    <w:rsid w:val="006D073F"/>
    <w:rsid w:val="006D1054"/>
    <w:rsid w:val="006D43DA"/>
    <w:rsid w:val="006D5B70"/>
    <w:rsid w:val="006D5D33"/>
    <w:rsid w:val="006D5F1C"/>
    <w:rsid w:val="006D6F08"/>
    <w:rsid w:val="006E062C"/>
    <w:rsid w:val="006E0E5A"/>
    <w:rsid w:val="006E28B7"/>
    <w:rsid w:val="006E3310"/>
    <w:rsid w:val="006E41BD"/>
    <w:rsid w:val="006E48B8"/>
    <w:rsid w:val="006E4AAA"/>
    <w:rsid w:val="006E4E39"/>
    <w:rsid w:val="006E565E"/>
    <w:rsid w:val="006E673D"/>
    <w:rsid w:val="006E7D3B"/>
    <w:rsid w:val="006F0F8A"/>
    <w:rsid w:val="006F1B70"/>
    <w:rsid w:val="006F1C19"/>
    <w:rsid w:val="006F341D"/>
    <w:rsid w:val="006F3CDE"/>
    <w:rsid w:val="006F43DF"/>
    <w:rsid w:val="006F58D4"/>
    <w:rsid w:val="007006BE"/>
    <w:rsid w:val="00700F1F"/>
    <w:rsid w:val="0070346E"/>
    <w:rsid w:val="00704EDB"/>
    <w:rsid w:val="00706101"/>
    <w:rsid w:val="00707072"/>
    <w:rsid w:val="00707D61"/>
    <w:rsid w:val="007107DF"/>
    <w:rsid w:val="00712287"/>
    <w:rsid w:val="00712772"/>
    <w:rsid w:val="007127C5"/>
    <w:rsid w:val="007148D3"/>
    <w:rsid w:val="007149E7"/>
    <w:rsid w:val="00715B9A"/>
    <w:rsid w:val="00716A32"/>
    <w:rsid w:val="00720075"/>
    <w:rsid w:val="00725011"/>
    <w:rsid w:val="00725D3A"/>
    <w:rsid w:val="00726EA6"/>
    <w:rsid w:val="00727208"/>
    <w:rsid w:val="00727680"/>
    <w:rsid w:val="00727694"/>
    <w:rsid w:val="007348B1"/>
    <w:rsid w:val="00735268"/>
    <w:rsid w:val="007362A6"/>
    <w:rsid w:val="00736D7D"/>
    <w:rsid w:val="00740E58"/>
    <w:rsid w:val="0074428B"/>
    <w:rsid w:val="007445A0"/>
    <w:rsid w:val="0074524B"/>
    <w:rsid w:val="00747D8B"/>
    <w:rsid w:val="007508A2"/>
    <w:rsid w:val="00751228"/>
    <w:rsid w:val="007571E1"/>
    <w:rsid w:val="00757C7B"/>
    <w:rsid w:val="007604B2"/>
    <w:rsid w:val="00765281"/>
    <w:rsid w:val="00766392"/>
    <w:rsid w:val="007664C4"/>
    <w:rsid w:val="00766BAD"/>
    <w:rsid w:val="0076708C"/>
    <w:rsid w:val="00774E24"/>
    <w:rsid w:val="007755F2"/>
    <w:rsid w:val="007767C5"/>
    <w:rsid w:val="00776971"/>
    <w:rsid w:val="00777AFD"/>
    <w:rsid w:val="0078177E"/>
    <w:rsid w:val="00781CFB"/>
    <w:rsid w:val="0078304C"/>
    <w:rsid w:val="0078362B"/>
    <w:rsid w:val="00783673"/>
    <w:rsid w:val="00785490"/>
    <w:rsid w:val="00786AE0"/>
    <w:rsid w:val="00791110"/>
    <w:rsid w:val="007917A1"/>
    <w:rsid w:val="007925EA"/>
    <w:rsid w:val="007926BD"/>
    <w:rsid w:val="0079283F"/>
    <w:rsid w:val="0079296C"/>
    <w:rsid w:val="00793CD8"/>
    <w:rsid w:val="007949FA"/>
    <w:rsid w:val="00795C92"/>
    <w:rsid w:val="00796231"/>
    <w:rsid w:val="007966F9"/>
    <w:rsid w:val="00797C4D"/>
    <w:rsid w:val="007A1CB3"/>
    <w:rsid w:val="007A306F"/>
    <w:rsid w:val="007A43A6"/>
    <w:rsid w:val="007A4D8D"/>
    <w:rsid w:val="007A5619"/>
    <w:rsid w:val="007A58A6"/>
    <w:rsid w:val="007A7724"/>
    <w:rsid w:val="007B3D2D"/>
    <w:rsid w:val="007B50AE"/>
    <w:rsid w:val="007B51DF"/>
    <w:rsid w:val="007B59BF"/>
    <w:rsid w:val="007C05DD"/>
    <w:rsid w:val="007C26CE"/>
    <w:rsid w:val="007C3402"/>
    <w:rsid w:val="007C3D18"/>
    <w:rsid w:val="007C60BF"/>
    <w:rsid w:val="007C69AD"/>
    <w:rsid w:val="007C6A07"/>
    <w:rsid w:val="007C72FF"/>
    <w:rsid w:val="007C75A1"/>
    <w:rsid w:val="007C77A5"/>
    <w:rsid w:val="007D04E5"/>
    <w:rsid w:val="007D560F"/>
    <w:rsid w:val="007D5901"/>
    <w:rsid w:val="007D7526"/>
    <w:rsid w:val="007E11BC"/>
    <w:rsid w:val="007E1DEB"/>
    <w:rsid w:val="007E4610"/>
    <w:rsid w:val="007E4715"/>
    <w:rsid w:val="007E505B"/>
    <w:rsid w:val="007E7091"/>
    <w:rsid w:val="007E784D"/>
    <w:rsid w:val="007F1239"/>
    <w:rsid w:val="007F2FC7"/>
    <w:rsid w:val="007F4382"/>
    <w:rsid w:val="007F60D8"/>
    <w:rsid w:val="00800B21"/>
    <w:rsid w:val="00801B27"/>
    <w:rsid w:val="00803F59"/>
    <w:rsid w:val="00803FAE"/>
    <w:rsid w:val="00804058"/>
    <w:rsid w:val="00805502"/>
    <w:rsid w:val="0080605F"/>
    <w:rsid w:val="008074DD"/>
    <w:rsid w:val="00807786"/>
    <w:rsid w:val="0081144B"/>
    <w:rsid w:val="00811FCB"/>
    <w:rsid w:val="008128DE"/>
    <w:rsid w:val="008158D6"/>
    <w:rsid w:val="00817196"/>
    <w:rsid w:val="00817BE9"/>
    <w:rsid w:val="00822E2B"/>
    <w:rsid w:val="008235DB"/>
    <w:rsid w:val="00824AB4"/>
    <w:rsid w:val="00824D7A"/>
    <w:rsid w:val="00825C42"/>
    <w:rsid w:val="00825D25"/>
    <w:rsid w:val="00826C8B"/>
    <w:rsid w:val="00827D6F"/>
    <w:rsid w:val="00833165"/>
    <w:rsid w:val="0083700D"/>
    <w:rsid w:val="008376AC"/>
    <w:rsid w:val="008444E8"/>
    <w:rsid w:val="00844E80"/>
    <w:rsid w:val="0084639C"/>
    <w:rsid w:val="00846FE7"/>
    <w:rsid w:val="00847BFE"/>
    <w:rsid w:val="00851285"/>
    <w:rsid w:val="00851840"/>
    <w:rsid w:val="00853EE5"/>
    <w:rsid w:val="00856911"/>
    <w:rsid w:val="00863650"/>
    <w:rsid w:val="00863D5D"/>
    <w:rsid w:val="00865BF1"/>
    <w:rsid w:val="008677FD"/>
    <w:rsid w:val="008706D4"/>
    <w:rsid w:val="00870F8A"/>
    <w:rsid w:val="008719A4"/>
    <w:rsid w:val="00871D23"/>
    <w:rsid w:val="00872C80"/>
    <w:rsid w:val="00873177"/>
    <w:rsid w:val="00874312"/>
    <w:rsid w:val="0087437C"/>
    <w:rsid w:val="0087558D"/>
    <w:rsid w:val="00875CD7"/>
    <w:rsid w:val="00876B4D"/>
    <w:rsid w:val="00877F18"/>
    <w:rsid w:val="008804A8"/>
    <w:rsid w:val="008812F9"/>
    <w:rsid w:val="00884BB3"/>
    <w:rsid w:val="00890705"/>
    <w:rsid w:val="00890E00"/>
    <w:rsid w:val="00890FBB"/>
    <w:rsid w:val="00894816"/>
    <w:rsid w:val="00894A88"/>
    <w:rsid w:val="00895386"/>
    <w:rsid w:val="00896419"/>
    <w:rsid w:val="00896EC3"/>
    <w:rsid w:val="008A21FF"/>
    <w:rsid w:val="008A2CE2"/>
    <w:rsid w:val="008A30AC"/>
    <w:rsid w:val="008A44B8"/>
    <w:rsid w:val="008A51A8"/>
    <w:rsid w:val="008A54C7"/>
    <w:rsid w:val="008A77D8"/>
    <w:rsid w:val="008B0483"/>
    <w:rsid w:val="008B0691"/>
    <w:rsid w:val="008B120C"/>
    <w:rsid w:val="008B4F89"/>
    <w:rsid w:val="008B51A0"/>
    <w:rsid w:val="008B592A"/>
    <w:rsid w:val="008B78E4"/>
    <w:rsid w:val="008B7B5C"/>
    <w:rsid w:val="008C0C16"/>
    <w:rsid w:val="008C0C99"/>
    <w:rsid w:val="008C2017"/>
    <w:rsid w:val="008C3368"/>
    <w:rsid w:val="008C4958"/>
    <w:rsid w:val="008C4BAA"/>
    <w:rsid w:val="008C56F2"/>
    <w:rsid w:val="008C6AE8"/>
    <w:rsid w:val="008C7573"/>
    <w:rsid w:val="008C7826"/>
    <w:rsid w:val="008D34F1"/>
    <w:rsid w:val="008D39D8"/>
    <w:rsid w:val="008D6D1A"/>
    <w:rsid w:val="008D74B4"/>
    <w:rsid w:val="008E065E"/>
    <w:rsid w:val="008E0927"/>
    <w:rsid w:val="008E153D"/>
    <w:rsid w:val="008E1909"/>
    <w:rsid w:val="008E2EF9"/>
    <w:rsid w:val="008E4DA2"/>
    <w:rsid w:val="008E5B32"/>
    <w:rsid w:val="008F0032"/>
    <w:rsid w:val="008F1EAB"/>
    <w:rsid w:val="008F33DC"/>
    <w:rsid w:val="008F477F"/>
    <w:rsid w:val="008F4ECE"/>
    <w:rsid w:val="008F523A"/>
    <w:rsid w:val="008F58A4"/>
    <w:rsid w:val="0090226B"/>
    <w:rsid w:val="00902350"/>
    <w:rsid w:val="00902EC3"/>
    <w:rsid w:val="0090336B"/>
    <w:rsid w:val="009053AA"/>
    <w:rsid w:val="0090544E"/>
    <w:rsid w:val="00906939"/>
    <w:rsid w:val="00910B7D"/>
    <w:rsid w:val="00911DFB"/>
    <w:rsid w:val="009139D9"/>
    <w:rsid w:val="00913E71"/>
    <w:rsid w:val="00914AD8"/>
    <w:rsid w:val="009158A3"/>
    <w:rsid w:val="00916046"/>
    <w:rsid w:val="00916079"/>
    <w:rsid w:val="00917CE9"/>
    <w:rsid w:val="00920BF2"/>
    <w:rsid w:val="00922010"/>
    <w:rsid w:val="0092526B"/>
    <w:rsid w:val="00927915"/>
    <w:rsid w:val="0093126B"/>
    <w:rsid w:val="00931363"/>
    <w:rsid w:val="00931BD9"/>
    <w:rsid w:val="0093523B"/>
    <w:rsid w:val="00935661"/>
    <w:rsid w:val="009368F3"/>
    <w:rsid w:val="00941636"/>
    <w:rsid w:val="00943742"/>
    <w:rsid w:val="00945944"/>
    <w:rsid w:val="00945C05"/>
    <w:rsid w:val="0094666C"/>
    <w:rsid w:val="00946945"/>
    <w:rsid w:val="00947713"/>
    <w:rsid w:val="0095070B"/>
    <w:rsid w:val="00950DE7"/>
    <w:rsid w:val="00951AF2"/>
    <w:rsid w:val="00953920"/>
    <w:rsid w:val="00953D47"/>
    <w:rsid w:val="00956399"/>
    <w:rsid w:val="0095681E"/>
    <w:rsid w:val="009572D4"/>
    <w:rsid w:val="00961921"/>
    <w:rsid w:val="00962874"/>
    <w:rsid w:val="0096430A"/>
    <w:rsid w:val="0096554B"/>
    <w:rsid w:val="0096584A"/>
    <w:rsid w:val="009675AA"/>
    <w:rsid w:val="009710DC"/>
    <w:rsid w:val="00971F08"/>
    <w:rsid w:val="0097603D"/>
    <w:rsid w:val="00976949"/>
    <w:rsid w:val="00980477"/>
    <w:rsid w:val="009832F7"/>
    <w:rsid w:val="00985253"/>
    <w:rsid w:val="009853B3"/>
    <w:rsid w:val="00986D06"/>
    <w:rsid w:val="00990630"/>
    <w:rsid w:val="00990631"/>
    <w:rsid w:val="009909CA"/>
    <w:rsid w:val="00991761"/>
    <w:rsid w:val="00991C6A"/>
    <w:rsid w:val="009940CF"/>
    <w:rsid w:val="009947C6"/>
    <w:rsid w:val="00994DCA"/>
    <w:rsid w:val="009960EC"/>
    <w:rsid w:val="009970DD"/>
    <w:rsid w:val="009976D3"/>
    <w:rsid w:val="009A04FA"/>
    <w:rsid w:val="009A0FBA"/>
    <w:rsid w:val="009A1601"/>
    <w:rsid w:val="009A1EC3"/>
    <w:rsid w:val="009A2191"/>
    <w:rsid w:val="009A2472"/>
    <w:rsid w:val="009A2BD6"/>
    <w:rsid w:val="009A462D"/>
    <w:rsid w:val="009A5CBA"/>
    <w:rsid w:val="009A64ED"/>
    <w:rsid w:val="009A73CA"/>
    <w:rsid w:val="009A7879"/>
    <w:rsid w:val="009A7D82"/>
    <w:rsid w:val="009B1F30"/>
    <w:rsid w:val="009B3AC2"/>
    <w:rsid w:val="009B40FB"/>
    <w:rsid w:val="009B47F0"/>
    <w:rsid w:val="009B4DF4"/>
    <w:rsid w:val="009B564E"/>
    <w:rsid w:val="009B6940"/>
    <w:rsid w:val="009B7E87"/>
    <w:rsid w:val="009C1CF9"/>
    <w:rsid w:val="009C32BB"/>
    <w:rsid w:val="009C403E"/>
    <w:rsid w:val="009C7E8E"/>
    <w:rsid w:val="009D12F4"/>
    <w:rsid w:val="009D28AD"/>
    <w:rsid w:val="009D38B6"/>
    <w:rsid w:val="009D4FF0"/>
    <w:rsid w:val="009D703C"/>
    <w:rsid w:val="009D718F"/>
    <w:rsid w:val="009E068F"/>
    <w:rsid w:val="009E14E0"/>
    <w:rsid w:val="009E35DB"/>
    <w:rsid w:val="009E393C"/>
    <w:rsid w:val="009E4349"/>
    <w:rsid w:val="009E47A3"/>
    <w:rsid w:val="009F08F3"/>
    <w:rsid w:val="009F344F"/>
    <w:rsid w:val="009F34AF"/>
    <w:rsid w:val="009F6EC2"/>
    <w:rsid w:val="009F764B"/>
    <w:rsid w:val="009F7EC6"/>
    <w:rsid w:val="00A020F9"/>
    <w:rsid w:val="00A048A8"/>
    <w:rsid w:val="00A04F49"/>
    <w:rsid w:val="00A05BE5"/>
    <w:rsid w:val="00A07A3D"/>
    <w:rsid w:val="00A13E54"/>
    <w:rsid w:val="00A1410E"/>
    <w:rsid w:val="00A14603"/>
    <w:rsid w:val="00A156A0"/>
    <w:rsid w:val="00A17F63"/>
    <w:rsid w:val="00A20B9F"/>
    <w:rsid w:val="00A2186A"/>
    <w:rsid w:val="00A2193B"/>
    <w:rsid w:val="00A2351A"/>
    <w:rsid w:val="00A23A3B"/>
    <w:rsid w:val="00A2468C"/>
    <w:rsid w:val="00A25A41"/>
    <w:rsid w:val="00A264A9"/>
    <w:rsid w:val="00A27785"/>
    <w:rsid w:val="00A30187"/>
    <w:rsid w:val="00A31287"/>
    <w:rsid w:val="00A3131D"/>
    <w:rsid w:val="00A31C10"/>
    <w:rsid w:val="00A323EE"/>
    <w:rsid w:val="00A32410"/>
    <w:rsid w:val="00A32A1B"/>
    <w:rsid w:val="00A33DB9"/>
    <w:rsid w:val="00A3448A"/>
    <w:rsid w:val="00A36297"/>
    <w:rsid w:val="00A3773B"/>
    <w:rsid w:val="00A3793A"/>
    <w:rsid w:val="00A41E2B"/>
    <w:rsid w:val="00A42CCB"/>
    <w:rsid w:val="00A45B74"/>
    <w:rsid w:val="00A526DF"/>
    <w:rsid w:val="00A52E1D"/>
    <w:rsid w:val="00A557C9"/>
    <w:rsid w:val="00A5715A"/>
    <w:rsid w:val="00A57A1E"/>
    <w:rsid w:val="00A61499"/>
    <w:rsid w:val="00A62A77"/>
    <w:rsid w:val="00A63483"/>
    <w:rsid w:val="00A6467C"/>
    <w:rsid w:val="00A657D7"/>
    <w:rsid w:val="00A660AC"/>
    <w:rsid w:val="00A66A6F"/>
    <w:rsid w:val="00A673D3"/>
    <w:rsid w:val="00A67E6C"/>
    <w:rsid w:val="00A7147C"/>
    <w:rsid w:val="00A71B99"/>
    <w:rsid w:val="00A71C61"/>
    <w:rsid w:val="00A739D0"/>
    <w:rsid w:val="00A761D4"/>
    <w:rsid w:val="00A76839"/>
    <w:rsid w:val="00A77EC4"/>
    <w:rsid w:val="00A80760"/>
    <w:rsid w:val="00A81FE6"/>
    <w:rsid w:val="00A85EF5"/>
    <w:rsid w:val="00A87D67"/>
    <w:rsid w:val="00A91E26"/>
    <w:rsid w:val="00A91EF5"/>
    <w:rsid w:val="00A92879"/>
    <w:rsid w:val="00A92911"/>
    <w:rsid w:val="00A937F3"/>
    <w:rsid w:val="00A9442A"/>
    <w:rsid w:val="00AA016F"/>
    <w:rsid w:val="00AA1ED6"/>
    <w:rsid w:val="00AA4F83"/>
    <w:rsid w:val="00AA51D6"/>
    <w:rsid w:val="00AA7770"/>
    <w:rsid w:val="00AA7FA6"/>
    <w:rsid w:val="00AB0BC8"/>
    <w:rsid w:val="00AB11CA"/>
    <w:rsid w:val="00AB14D9"/>
    <w:rsid w:val="00AB2E29"/>
    <w:rsid w:val="00AB4AB8"/>
    <w:rsid w:val="00AB5E43"/>
    <w:rsid w:val="00AB655E"/>
    <w:rsid w:val="00AC007F"/>
    <w:rsid w:val="00AC2ECD"/>
    <w:rsid w:val="00AC3119"/>
    <w:rsid w:val="00AC49FB"/>
    <w:rsid w:val="00AC541B"/>
    <w:rsid w:val="00AC5A10"/>
    <w:rsid w:val="00AD0AA3"/>
    <w:rsid w:val="00AD1D0F"/>
    <w:rsid w:val="00AD3E51"/>
    <w:rsid w:val="00AD3F94"/>
    <w:rsid w:val="00AD4A5A"/>
    <w:rsid w:val="00AD69D8"/>
    <w:rsid w:val="00AE20E4"/>
    <w:rsid w:val="00AE27AC"/>
    <w:rsid w:val="00AE3C45"/>
    <w:rsid w:val="00AE40E0"/>
    <w:rsid w:val="00AE4DBA"/>
    <w:rsid w:val="00AE4F07"/>
    <w:rsid w:val="00AE66E3"/>
    <w:rsid w:val="00AE7C50"/>
    <w:rsid w:val="00AF03DC"/>
    <w:rsid w:val="00AF1C5D"/>
    <w:rsid w:val="00AF42D7"/>
    <w:rsid w:val="00AF70B2"/>
    <w:rsid w:val="00AF754A"/>
    <w:rsid w:val="00B006FE"/>
    <w:rsid w:val="00B007CB"/>
    <w:rsid w:val="00B02AA9"/>
    <w:rsid w:val="00B02FA3"/>
    <w:rsid w:val="00B042FF"/>
    <w:rsid w:val="00B05084"/>
    <w:rsid w:val="00B121A6"/>
    <w:rsid w:val="00B157F9"/>
    <w:rsid w:val="00B167F7"/>
    <w:rsid w:val="00B16AFE"/>
    <w:rsid w:val="00B17E47"/>
    <w:rsid w:val="00B20256"/>
    <w:rsid w:val="00B20D09"/>
    <w:rsid w:val="00B222B8"/>
    <w:rsid w:val="00B2512F"/>
    <w:rsid w:val="00B2763F"/>
    <w:rsid w:val="00B27A67"/>
    <w:rsid w:val="00B27AAC"/>
    <w:rsid w:val="00B30929"/>
    <w:rsid w:val="00B34B12"/>
    <w:rsid w:val="00B372AA"/>
    <w:rsid w:val="00B40445"/>
    <w:rsid w:val="00B4073E"/>
    <w:rsid w:val="00B40D63"/>
    <w:rsid w:val="00B41888"/>
    <w:rsid w:val="00B436F4"/>
    <w:rsid w:val="00B441D1"/>
    <w:rsid w:val="00B45A52"/>
    <w:rsid w:val="00B46175"/>
    <w:rsid w:val="00B46951"/>
    <w:rsid w:val="00B548E5"/>
    <w:rsid w:val="00B557AD"/>
    <w:rsid w:val="00B561AA"/>
    <w:rsid w:val="00B563F3"/>
    <w:rsid w:val="00B56E22"/>
    <w:rsid w:val="00B576BB"/>
    <w:rsid w:val="00B648F4"/>
    <w:rsid w:val="00B664C7"/>
    <w:rsid w:val="00B73561"/>
    <w:rsid w:val="00B738AD"/>
    <w:rsid w:val="00B739F6"/>
    <w:rsid w:val="00B7527D"/>
    <w:rsid w:val="00B760D1"/>
    <w:rsid w:val="00B7630F"/>
    <w:rsid w:val="00B8088E"/>
    <w:rsid w:val="00B80E76"/>
    <w:rsid w:val="00B816EA"/>
    <w:rsid w:val="00B81A6C"/>
    <w:rsid w:val="00B81B0D"/>
    <w:rsid w:val="00B822EE"/>
    <w:rsid w:val="00B829F3"/>
    <w:rsid w:val="00B836C2"/>
    <w:rsid w:val="00B83A6F"/>
    <w:rsid w:val="00B85DE5"/>
    <w:rsid w:val="00B90F73"/>
    <w:rsid w:val="00B91CF4"/>
    <w:rsid w:val="00B92EA3"/>
    <w:rsid w:val="00B93B59"/>
    <w:rsid w:val="00B9406A"/>
    <w:rsid w:val="00B9650A"/>
    <w:rsid w:val="00BA0AC6"/>
    <w:rsid w:val="00BA2280"/>
    <w:rsid w:val="00BA2864"/>
    <w:rsid w:val="00BA2A08"/>
    <w:rsid w:val="00BA2BE8"/>
    <w:rsid w:val="00BA2CBB"/>
    <w:rsid w:val="00BA4E26"/>
    <w:rsid w:val="00BA56D2"/>
    <w:rsid w:val="00BA6906"/>
    <w:rsid w:val="00BA76E0"/>
    <w:rsid w:val="00BB2A25"/>
    <w:rsid w:val="00BB358E"/>
    <w:rsid w:val="00BB51E9"/>
    <w:rsid w:val="00BB58A4"/>
    <w:rsid w:val="00BB6077"/>
    <w:rsid w:val="00BC0FDC"/>
    <w:rsid w:val="00BC1EAA"/>
    <w:rsid w:val="00BC3053"/>
    <w:rsid w:val="00BC348C"/>
    <w:rsid w:val="00BC4D2E"/>
    <w:rsid w:val="00BC55C1"/>
    <w:rsid w:val="00BC5F5A"/>
    <w:rsid w:val="00BC6FD2"/>
    <w:rsid w:val="00BD09F7"/>
    <w:rsid w:val="00BD0F90"/>
    <w:rsid w:val="00BD2DCB"/>
    <w:rsid w:val="00BD3F68"/>
    <w:rsid w:val="00BD48AC"/>
    <w:rsid w:val="00BD5669"/>
    <w:rsid w:val="00BD5F1A"/>
    <w:rsid w:val="00BD7A42"/>
    <w:rsid w:val="00BE1234"/>
    <w:rsid w:val="00BE2FA6"/>
    <w:rsid w:val="00BE333F"/>
    <w:rsid w:val="00BE3531"/>
    <w:rsid w:val="00BE49D7"/>
    <w:rsid w:val="00BE6397"/>
    <w:rsid w:val="00BE7406"/>
    <w:rsid w:val="00BE7603"/>
    <w:rsid w:val="00BE7F2F"/>
    <w:rsid w:val="00BF3279"/>
    <w:rsid w:val="00BF74C7"/>
    <w:rsid w:val="00BF765B"/>
    <w:rsid w:val="00C015F1"/>
    <w:rsid w:val="00C01F33"/>
    <w:rsid w:val="00C0231E"/>
    <w:rsid w:val="00C02538"/>
    <w:rsid w:val="00C02CC6"/>
    <w:rsid w:val="00C040F7"/>
    <w:rsid w:val="00C044AB"/>
    <w:rsid w:val="00C04DD2"/>
    <w:rsid w:val="00C05706"/>
    <w:rsid w:val="00C0641D"/>
    <w:rsid w:val="00C07377"/>
    <w:rsid w:val="00C10478"/>
    <w:rsid w:val="00C10F3D"/>
    <w:rsid w:val="00C1131A"/>
    <w:rsid w:val="00C12107"/>
    <w:rsid w:val="00C14090"/>
    <w:rsid w:val="00C14777"/>
    <w:rsid w:val="00C14BD2"/>
    <w:rsid w:val="00C14D4B"/>
    <w:rsid w:val="00C154BB"/>
    <w:rsid w:val="00C20C10"/>
    <w:rsid w:val="00C22738"/>
    <w:rsid w:val="00C23A64"/>
    <w:rsid w:val="00C250A8"/>
    <w:rsid w:val="00C279B5"/>
    <w:rsid w:val="00C27C45"/>
    <w:rsid w:val="00C32D26"/>
    <w:rsid w:val="00C339A3"/>
    <w:rsid w:val="00C346F9"/>
    <w:rsid w:val="00C35C83"/>
    <w:rsid w:val="00C36C34"/>
    <w:rsid w:val="00C3719D"/>
    <w:rsid w:val="00C42BFB"/>
    <w:rsid w:val="00C45B86"/>
    <w:rsid w:val="00C4713E"/>
    <w:rsid w:val="00C5206A"/>
    <w:rsid w:val="00C54995"/>
    <w:rsid w:val="00C54D41"/>
    <w:rsid w:val="00C60783"/>
    <w:rsid w:val="00C62A5A"/>
    <w:rsid w:val="00C62DF1"/>
    <w:rsid w:val="00C632A4"/>
    <w:rsid w:val="00C64672"/>
    <w:rsid w:val="00C64D3D"/>
    <w:rsid w:val="00C64E00"/>
    <w:rsid w:val="00C65BC9"/>
    <w:rsid w:val="00C6628F"/>
    <w:rsid w:val="00C70697"/>
    <w:rsid w:val="00C7110B"/>
    <w:rsid w:val="00C72811"/>
    <w:rsid w:val="00C72EF4"/>
    <w:rsid w:val="00C732A3"/>
    <w:rsid w:val="00C73952"/>
    <w:rsid w:val="00C740AB"/>
    <w:rsid w:val="00C75D2F"/>
    <w:rsid w:val="00C767BE"/>
    <w:rsid w:val="00C76E3C"/>
    <w:rsid w:val="00C77776"/>
    <w:rsid w:val="00C77795"/>
    <w:rsid w:val="00C81568"/>
    <w:rsid w:val="00C81C28"/>
    <w:rsid w:val="00C8209D"/>
    <w:rsid w:val="00C84EA6"/>
    <w:rsid w:val="00C86161"/>
    <w:rsid w:val="00C9027A"/>
    <w:rsid w:val="00C9068E"/>
    <w:rsid w:val="00C93C4B"/>
    <w:rsid w:val="00C944AB"/>
    <w:rsid w:val="00C95B40"/>
    <w:rsid w:val="00C973EB"/>
    <w:rsid w:val="00CA1ED8"/>
    <w:rsid w:val="00CA332D"/>
    <w:rsid w:val="00CA3D5F"/>
    <w:rsid w:val="00CA70AF"/>
    <w:rsid w:val="00CB1F63"/>
    <w:rsid w:val="00CB4A16"/>
    <w:rsid w:val="00CB59DF"/>
    <w:rsid w:val="00CB7170"/>
    <w:rsid w:val="00CC040E"/>
    <w:rsid w:val="00CC1090"/>
    <w:rsid w:val="00CC111F"/>
    <w:rsid w:val="00CC2011"/>
    <w:rsid w:val="00CC3D73"/>
    <w:rsid w:val="00CC3EA0"/>
    <w:rsid w:val="00CC6349"/>
    <w:rsid w:val="00CC7B45"/>
    <w:rsid w:val="00CD1188"/>
    <w:rsid w:val="00CD127A"/>
    <w:rsid w:val="00CD2ED1"/>
    <w:rsid w:val="00CD337B"/>
    <w:rsid w:val="00CD415E"/>
    <w:rsid w:val="00CD5A43"/>
    <w:rsid w:val="00CD6EB6"/>
    <w:rsid w:val="00CE0424"/>
    <w:rsid w:val="00CE0CB1"/>
    <w:rsid w:val="00CE3D86"/>
    <w:rsid w:val="00CE4E1B"/>
    <w:rsid w:val="00CE543A"/>
    <w:rsid w:val="00CE7561"/>
    <w:rsid w:val="00CF1354"/>
    <w:rsid w:val="00CF3B1F"/>
    <w:rsid w:val="00CF3BF6"/>
    <w:rsid w:val="00CF625B"/>
    <w:rsid w:val="00CF687E"/>
    <w:rsid w:val="00CF702F"/>
    <w:rsid w:val="00D00AE7"/>
    <w:rsid w:val="00D02D98"/>
    <w:rsid w:val="00D02E3F"/>
    <w:rsid w:val="00D0349B"/>
    <w:rsid w:val="00D10249"/>
    <w:rsid w:val="00D115C3"/>
    <w:rsid w:val="00D11897"/>
    <w:rsid w:val="00D13135"/>
    <w:rsid w:val="00D13E4E"/>
    <w:rsid w:val="00D1444C"/>
    <w:rsid w:val="00D154E9"/>
    <w:rsid w:val="00D15C67"/>
    <w:rsid w:val="00D20493"/>
    <w:rsid w:val="00D22631"/>
    <w:rsid w:val="00D2353E"/>
    <w:rsid w:val="00D239A7"/>
    <w:rsid w:val="00D23F47"/>
    <w:rsid w:val="00D2405C"/>
    <w:rsid w:val="00D250FE"/>
    <w:rsid w:val="00D2558F"/>
    <w:rsid w:val="00D25A77"/>
    <w:rsid w:val="00D27E06"/>
    <w:rsid w:val="00D32A9B"/>
    <w:rsid w:val="00D35ADB"/>
    <w:rsid w:val="00D36E71"/>
    <w:rsid w:val="00D3710F"/>
    <w:rsid w:val="00D37D87"/>
    <w:rsid w:val="00D37F4E"/>
    <w:rsid w:val="00D40853"/>
    <w:rsid w:val="00D40B33"/>
    <w:rsid w:val="00D41803"/>
    <w:rsid w:val="00D4318F"/>
    <w:rsid w:val="00D438BF"/>
    <w:rsid w:val="00D440F8"/>
    <w:rsid w:val="00D50251"/>
    <w:rsid w:val="00D5033E"/>
    <w:rsid w:val="00D5066E"/>
    <w:rsid w:val="00D546FF"/>
    <w:rsid w:val="00D547DD"/>
    <w:rsid w:val="00D55AD5"/>
    <w:rsid w:val="00D56416"/>
    <w:rsid w:val="00D576CA"/>
    <w:rsid w:val="00D61AF5"/>
    <w:rsid w:val="00D61B98"/>
    <w:rsid w:val="00D63510"/>
    <w:rsid w:val="00D63A79"/>
    <w:rsid w:val="00D652B5"/>
    <w:rsid w:val="00D66155"/>
    <w:rsid w:val="00D66CAA"/>
    <w:rsid w:val="00D708B0"/>
    <w:rsid w:val="00D70E74"/>
    <w:rsid w:val="00D77723"/>
    <w:rsid w:val="00D77B1D"/>
    <w:rsid w:val="00D8021F"/>
    <w:rsid w:val="00D80383"/>
    <w:rsid w:val="00D80AC8"/>
    <w:rsid w:val="00D823C6"/>
    <w:rsid w:val="00D84043"/>
    <w:rsid w:val="00D86CA3"/>
    <w:rsid w:val="00D871CE"/>
    <w:rsid w:val="00D9196D"/>
    <w:rsid w:val="00D92575"/>
    <w:rsid w:val="00D92982"/>
    <w:rsid w:val="00D95DF5"/>
    <w:rsid w:val="00D96856"/>
    <w:rsid w:val="00DA1092"/>
    <w:rsid w:val="00DA155E"/>
    <w:rsid w:val="00DA24A5"/>
    <w:rsid w:val="00DA2706"/>
    <w:rsid w:val="00DA305E"/>
    <w:rsid w:val="00DA4371"/>
    <w:rsid w:val="00DA5417"/>
    <w:rsid w:val="00DA56E8"/>
    <w:rsid w:val="00DB0A9F"/>
    <w:rsid w:val="00DB2C81"/>
    <w:rsid w:val="00DB377D"/>
    <w:rsid w:val="00DB6176"/>
    <w:rsid w:val="00DC1C50"/>
    <w:rsid w:val="00DC2174"/>
    <w:rsid w:val="00DC2D36"/>
    <w:rsid w:val="00DC53EF"/>
    <w:rsid w:val="00DC6600"/>
    <w:rsid w:val="00DC662E"/>
    <w:rsid w:val="00DC6EE3"/>
    <w:rsid w:val="00DD33E6"/>
    <w:rsid w:val="00DD6051"/>
    <w:rsid w:val="00DD6BE3"/>
    <w:rsid w:val="00DD6CA7"/>
    <w:rsid w:val="00DE3BDB"/>
    <w:rsid w:val="00DE50FA"/>
    <w:rsid w:val="00DE5608"/>
    <w:rsid w:val="00DE58D0"/>
    <w:rsid w:val="00DE5C1E"/>
    <w:rsid w:val="00DE654F"/>
    <w:rsid w:val="00DF0B6E"/>
    <w:rsid w:val="00DF15E0"/>
    <w:rsid w:val="00DF2130"/>
    <w:rsid w:val="00DF2B9F"/>
    <w:rsid w:val="00DF379A"/>
    <w:rsid w:val="00DF37A0"/>
    <w:rsid w:val="00DF5B71"/>
    <w:rsid w:val="00DF7229"/>
    <w:rsid w:val="00E00660"/>
    <w:rsid w:val="00E00BE1"/>
    <w:rsid w:val="00E051BB"/>
    <w:rsid w:val="00E06B9A"/>
    <w:rsid w:val="00E07842"/>
    <w:rsid w:val="00E1005F"/>
    <w:rsid w:val="00E110E7"/>
    <w:rsid w:val="00E11B20"/>
    <w:rsid w:val="00E12DA3"/>
    <w:rsid w:val="00E14373"/>
    <w:rsid w:val="00E14C07"/>
    <w:rsid w:val="00E15FF9"/>
    <w:rsid w:val="00E16F97"/>
    <w:rsid w:val="00E17061"/>
    <w:rsid w:val="00E17FA2"/>
    <w:rsid w:val="00E20B6A"/>
    <w:rsid w:val="00E214F3"/>
    <w:rsid w:val="00E22330"/>
    <w:rsid w:val="00E24655"/>
    <w:rsid w:val="00E30B5A"/>
    <w:rsid w:val="00E30E5A"/>
    <w:rsid w:val="00E3123D"/>
    <w:rsid w:val="00E31461"/>
    <w:rsid w:val="00E31D43"/>
    <w:rsid w:val="00E32410"/>
    <w:rsid w:val="00E32608"/>
    <w:rsid w:val="00E32982"/>
    <w:rsid w:val="00E34188"/>
    <w:rsid w:val="00E34B6E"/>
    <w:rsid w:val="00E35559"/>
    <w:rsid w:val="00E35D73"/>
    <w:rsid w:val="00E3723A"/>
    <w:rsid w:val="00E37860"/>
    <w:rsid w:val="00E437F0"/>
    <w:rsid w:val="00E446F1"/>
    <w:rsid w:val="00E447D4"/>
    <w:rsid w:val="00E4506E"/>
    <w:rsid w:val="00E45937"/>
    <w:rsid w:val="00E46886"/>
    <w:rsid w:val="00E47AEF"/>
    <w:rsid w:val="00E50DDC"/>
    <w:rsid w:val="00E51071"/>
    <w:rsid w:val="00E52A05"/>
    <w:rsid w:val="00E53502"/>
    <w:rsid w:val="00E53B75"/>
    <w:rsid w:val="00E54E3B"/>
    <w:rsid w:val="00E56064"/>
    <w:rsid w:val="00E570EC"/>
    <w:rsid w:val="00E57565"/>
    <w:rsid w:val="00E61543"/>
    <w:rsid w:val="00E634C3"/>
    <w:rsid w:val="00E63838"/>
    <w:rsid w:val="00E64434"/>
    <w:rsid w:val="00E67C51"/>
    <w:rsid w:val="00E724BB"/>
    <w:rsid w:val="00E72EFC"/>
    <w:rsid w:val="00E745CB"/>
    <w:rsid w:val="00E758EC"/>
    <w:rsid w:val="00E759C2"/>
    <w:rsid w:val="00E76454"/>
    <w:rsid w:val="00E77CCC"/>
    <w:rsid w:val="00E8234C"/>
    <w:rsid w:val="00E83AA9"/>
    <w:rsid w:val="00E84956"/>
    <w:rsid w:val="00E85928"/>
    <w:rsid w:val="00E87822"/>
    <w:rsid w:val="00E90395"/>
    <w:rsid w:val="00E90B05"/>
    <w:rsid w:val="00E90E49"/>
    <w:rsid w:val="00E915C3"/>
    <w:rsid w:val="00E917F9"/>
    <w:rsid w:val="00E9291C"/>
    <w:rsid w:val="00E93FFE"/>
    <w:rsid w:val="00E94F8A"/>
    <w:rsid w:val="00E951EC"/>
    <w:rsid w:val="00E96DC7"/>
    <w:rsid w:val="00E96FBB"/>
    <w:rsid w:val="00E9752B"/>
    <w:rsid w:val="00EA24A2"/>
    <w:rsid w:val="00EA4EB4"/>
    <w:rsid w:val="00EA7A41"/>
    <w:rsid w:val="00EB031C"/>
    <w:rsid w:val="00EB077B"/>
    <w:rsid w:val="00EB2479"/>
    <w:rsid w:val="00EB4EA2"/>
    <w:rsid w:val="00EB5863"/>
    <w:rsid w:val="00EB60F6"/>
    <w:rsid w:val="00EB6B25"/>
    <w:rsid w:val="00EC18B4"/>
    <w:rsid w:val="00EC27C6"/>
    <w:rsid w:val="00EC2B47"/>
    <w:rsid w:val="00EC32CD"/>
    <w:rsid w:val="00EC4207"/>
    <w:rsid w:val="00EC5653"/>
    <w:rsid w:val="00EC64CC"/>
    <w:rsid w:val="00EC71CE"/>
    <w:rsid w:val="00EC769B"/>
    <w:rsid w:val="00ED1006"/>
    <w:rsid w:val="00ED1628"/>
    <w:rsid w:val="00ED2AAD"/>
    <w:rsid w:val="00ED44FC"/>
    <w:rsid w:val="00ED4757"/>
    <w:rsid w:val="00ED57FB"/>
    <w:rsid w:val="00ED59BD"/>
    <w:rsid w:val="00ED5ABC"/>
    <w:rsid w:val="00ED7D94"/>
    <w:rsid w:val="00EE0002"/>
    <w:rsid w:val="00EE3D9F"/>
    <w:rsid w:val="00EE5887"/>
    <w:rsid w:val="00EE7E90"/>
    <w:rsid w:val="00EF069B"/>
    <w:rsid w:val="00EF1314"/>
    <w:rsid w:val="00EF18FE"/>
    <w:rsid w:val="00EF3C81"/>
    <w:rsid w:val="00EF4221"/>
    <w:rsid w:val="00EF4C30"/>
    <w:rsid w:val="00EF5787"/>
    <w:rsid w:val="00EF5F0E"/>
    <w:rsid w:val="00EF60D0"/>
    <w:rsid w:val="00EF7D72"/>
    <w:rsid w:val="00F0143C"/>
    <w:rsid w:val="00F0528D"/>
    <w:rsid w:val="00F06C67"/>
    <w:rsid w:val="00F06DFD"/>
    <w:rsid w:val="00F071D1"/>
    <w:rsid w:val="00F07533"/>
    <w:rsid w:val="00F10595"/>
    <w:rsid w:val="00F10629"/>
    <w:rsid w:val="00F12FC7"/>
    <w:rsid w:val="00F15FA5"/>
    <w:rsid w:val="00F207D7"/>
    <w:rsid w:val="00F209B7"/>
    <w:rsid w:val="00F22CE5"/>
    <w:rsid w:val="00F2376F"/>
    <w:rsid w:val="00F243D8"/>
    <w:rsid w:val="00F24FD2"/>
    <w:rsid w:val="00F2556B"/>
    <w:rsid w:val="00F262AD"/>
    <w:rsid w:val="00F27B04"/>
    <w:rsid w:val="00F30828"/>
    <w:rsid w:val="00F313D6"/>
    <w:rsid w:val="00F32FA2"/>
    <w:rsid w:val="00F35426"/>
    <w:rsid w:val="00F359CC"/>
    <w:rsid w:val="00F364C1"/>
    <w:rsid w:val="00F37F2E"/>
    <w:rsid w:val="00F40F0C"/>
    <w:rsid w:val="00F42239"/>
    <w:rsid w:val="00F426D7"/>
    <w:rsid w:val="00F45645"/>
    <w:rsid w:val="00F46F4A"/>
    <w:rsid w:val="00F4766C"/>
    <w:rsid w:val="00F50548"/>
    <w:rsid w:val="00F507D1"/>
    <w:rsid w:val="00F514BD"/>
    <w:rsid w:val="00F519CE"/>
    <w:rsid w:val="00F51ADA"/>
    <w:rsid w:val="00F56091"/>
    <w:rsid w:val="00F5783E"/>
    <w:rsid w:val="00F607C5"/>
    <w:rsid w:val="00F60DEA"/>
    <w:rsid w:val="00F62EFE"/>
    <w:rsid w:val="00F6302A"/>
    <w:rsid w:val="00F64A20"/>
    <w:rsid w:val="00F64C2B"/>
    <w:rsid w:val="00F65052"/>
    <w:rsid w:val="00F651BE"/>
    <w:rsid w:val="00F67F53"/>
    <w:rsid w:val="00F703BE"/>
    <w:rsid w:val="00F716E3"/>
    <w:rsid w:val="00F71F69"/>
    <w:rsid w:val="00F721AF"/>
    <w:rsid w:val="00F72B72"/>
    <w:rsid w:val="00F74080"/>
    <w:rsid w:val="00F74BB9"/>
    <w:rsid w:val="00F75582"/>
    <w:rsid w:val="00F76EFA"/>
    <w:rsid w:val="00F77C47"/>
    <w:rsid w:val="00F8033E"/>
    <w:rsid w:val="00F804BE"/>
    <w:rsid w:val="00F817CE"/>
    <w:rsid w:val="00F81AF6"/>
    <w:rsid w:val="00F82B79"/>
    <w:rsid w:val="00F8456C"/>
    <w:rsid w:val="00F848DD"/>
    <w:rsid w:val="00F859D8"/>
    <w:rsid w:val="00F8626D"/>
    <w:rsid w:val="00F86334"/>
    <w:rsid w:val="00F867C3"/>
    <w:rsid w:val="00F868F5"/>
    <w:rsid w:val="00F86A6C"/>
    <w:rsid w:val="00F90209"/>
    <w:rsid w:val="00F9056A"/>
    <w:rsid w:val="00F90A97"/>
    <w:rsid w:val="00F90F8D"/>
    <w:rsid w:val="00F91532"/>
    <w:rsid w:val="00F92782"/>
    <w:rsid w:val="00F93A82"/>
    <w:rsid w:val="00F93AA9"/>
    <w:rsid w:val="00F93F13"/>
    <w:rsid w:val="00F96985"/>
    <w:rsid w:val="00F974D0"/>
    <w:rsid w:val="00F97838"/>
    <w:rsid w:val="00FA0A9A"/>
    <w:rsid w:val="00FA2BB3"/>
    <w:rsid w:val="00FA31EC"/>
    <w:rsid w:val="00FA6FAD"/>
    <w:rsid w:val="00FA778A"/>
    <w:rsid w:val="00FB216B"/>
    <w:rsid w:val="00FB307C"/>
    <w:rsid w:val="00FB39A8"/>
    <w:rsid w:val="00FB3B05"/>
    <w:rsid w:val="00FB4C80"/>
    <w:rsid w:val="00FB5C19"/>
    <w:rsid w:val="00FB6A6A"/>
    <w:rsid w:val="00FC4E33"/>
    <w:rsid w:val="00FC527F"/>
    <w:rsid w:val="00FC721F"/>
    <w:rsid w:val="00FC7429"/>
    <w:rsid w:val="00FC74B1"/>
    <w:rsid w:val="00FD07F6"/>
    <w:rsid w:val="00FD0EE5"/>
    <w:rsid w:val="00FD1355"/>
    <w:rsid w:val="00FD1EC8"/>
    <w:rsid w:val="00FD2354"/>
    <w:rsid w:val="00FD47ED"/>
    <w:rsid w:val="00FD50C6"/>
    <w:rsid w:val="00FD74DB"/>
    <w:rsid w:val="00FD7660"/>
    <w:rsid w:val="00FE0655"/>
    <w:rsid w:val="00FE198C"/>
    <w:rsid w:val="00FE2365"/>
    <w:rsid w:val="00FE2ABC"/>
    <w:rsid w:val="00FE2CE3"/>
    <w:rsid w:val="00FE4C7B"/>
    <w:rsid w:val="00FE7336"/>
    <w:rsid w:val="00FE787C"/>
    <w:rsid w:val="00FF2774"/>
    <w:rsid w:val="00FF2B36"/>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4:docId w14:val="21C5E1E6"/>
  <w15:docId w15:val="{B0A7139B-BC2D-4890-B47D-AF924A88A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C250A8"/>
    <w:pPr>
      <w:numPr>
        <w:ilvl w:val="1"/>
      </w:numPr>
      <w:pBdr>
        <w:top w:val="none" w:sz="0" w:space="0" w:color="auto"/>
      </w:pBdr>
      <w:spacing w:before="180"/>
      <w:ind w:left="578" w:hanging="578"/>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uiPriority w:val="99"/>
    <w:semiHidden/>
    <w:rsid w:val="009C403E"/>
    <w:rPr>
      <w:sz w:val="16"/>
      <w:szCs w:val="16"/>
    </w:rPr>
  </w:style>
  <w:style w:type="paragraph" w:styleId="CommentText">
    <w:name w:val="annotation text"/>
    <w:basedOn w:val="Normal"/>
    <w:link w:val="CommentTextChar"/>
    <w:uiPriority w:val="99"/>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1"/>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C250A8"/>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msender18">
    <w:name w:val="im_sender18"/>
    <w:basedOn w:val="DefaultParagraphFont"/>
    <w:rsid w:val="00484FA6"/>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18">
    <w:name w:val="message_timestamp18"/>
    <w:basedOn w:val="DefaultParagraphFont"/>
    <w:rsid w:val="00484FA6"/>
    <w:rPr>
      <w:rFonts w:ascii="Segoe UI" w:hAnsi="Segoe UI" w:cs="Segoe UI" w:hint="default"/>
      <w:b/>
      <w:bCs/>
      <w:i w:val="0"/>
      <w:iCs w:val="0"/>
      <w:caps w:val="0"/>
      <w:smallCaps w:val="0"/>
      <w:strike w:val="0"/>
      <w:dstrike w:val="0"/>
      <w:color w:val="666666"/>
      <w:sz w:val="17"/>
      <w:szCs w:val="17"/>
      <w:u w:val="none"/>
      <w:effect w:val="none"/>
    </w:rPr>
  </w:style>
  <w:style w:type="paragraph" w:styleId="Revision">
    <w:name w:val="Revision"/>
    <w:hidden/>
    <w:uiPriority w:val="99"/>
    <w:semiHidden/>
    <w:rsid w:val="00A5715A"/>
    <w:rPr>
      <w:rFonts w:ascii="Arial" w:hAnsi="Arial"/>
      <w:lang w:val="en-GB" w:eastAsia="zh-CN"/>
    </w:rPr>
  </w:style>
  <w:style w:type="character" w:customStyle="1" w:styleId="CommentTextChar">
    <w:name w:val="Comment Text Char"/>
    <w:basedOn w:val="DefaultParagraphFont"/>
    <w:link w:val="CommentText"/>
    <w:uiPriority w:val="99"/>
    <w:semiHidden/>
    <w:rsid w:val="0004033B"/>
    <w:rPr>
      <w:rFonts w:ascii="Arial" w:hAnsi="Arial"/>
      <w:lang w:val="en-GB" w:eastAsia="zh-CN"/>
    </w:rPr>
  </w:style>
  <w:style w:type="paragraph" w:customStyle="1" w:styleId="CRCoverPage">
    <w:name w:val="CR Cover Page"/>
    <w:rsid w:val="00B17E47"/>
    <w:pPr>
      <w:spacing w:after="120"/>
    </w:pPr>
    <w:rPr>
      <w:rFonts w:ascii="Arial" w:hAnsi="Arial"/>
      <w:lang w:val="en-GB"/>
    </w:rPr>
  </w:style>
  <w:style w:type="paragraph" w:customStyle="1" w:styleId="IvDbodytext">
    <w:name w:val="IvD bodytext"/>
    <w:basedOn w:val="BodyText"/>
    <w:link w:val="IvDbodytextChar"/>
    <w:qFormat/>
    <w:rsid w:val="005E42E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EastAsia"/>
      <w:spacing w:val="2"/>
      <w:sz w:val="22"/>
      <w:lang w:eastAsia="en-US"/>
    </w:rPr>
  </w:style>
  <w:style w:type="character" w:customStyle="1" w:styleId="IvDbodytextChar">
    <w:name w:val="IvD bodytext Char"/>
    <w:basedOn w:val="BodyTextChar"/>
    <w:link w:val="IvDbodytext"/>
    <w:rsid w:val="005E42E8"/>
    <w:rPr>
      <w:rFonts w:ascii="Arial" w:eastAsiaTheme="minorEastAsia" w:hAnsi="Arial"/>
      <w:spacing w:val="2"/>
      <w:sz w:val="22"/>
      <w:lang w:val="en-GB"/>
    </w:rPr>
  </w:style>
  <w:style w:type="paragraph" w:customStyle="1" w:styleId="Doc-text2">
    <w:name w:val="Doc-text2"/>
    <w:basedOn w:val="Normal"/>
    <w:link w:val="Doc-text2Char"/>
    <w:qFormat/>
    <w:rsid w:val="006212E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212EC"/>
    <w:rPr>
      <w:rFonts w:ascii="Arial" w:eastAsia="MS Mincho" w:hAnsi="Arial"/>
      <w:szCs w:val="24"/>
      <w:lang w:val="en-GB" w:eastAsia="en-GB"/>
    </w:rPr>
  </w:style>
  <w:style w:type="character" w:customStyle="1" w:styleId="B1Zchn">
    <w:name w:val="B1 Zchn"/>
    <w:link w:val="B1"/>
    <w:rsid w:val="000A4D6D"/>
    <w:rPr>
      <w:rFonts w:ascii="Arial" w:hAnsi="Arial"/>
      <w:lang w:val="en-GB"/>
    </w:rPr>
  </w:style>
  <w:style w:type="paragraph" w:customStyle="1" w:styleId="Comments">
    <w:name w:val="Comments"/>
    <w:basedOn w:val="Normal"/>
    <w:link w:val="CommentsChar"/>
    <w:qFormat/>
    <w:rsid w:val="00B576BB"/>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B576BB"/>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612858">
      <w:bodyDiv w:val="1"/>
      <w:marLeft w:val="0"/>
      <w:marRight w:val="0"/>
      <w:marTop w:val="0"/>
      <w:marBottom w:val="0"/>
      <w:divBdr>
        <w:top w:val="none" w:sz="0" w:space="0" w:color="auto"/>
        <w:left w:val="none" w:sz="0" w:space="0" w:color="auto"/>
        <w:bottom w:val="none" w:sz="0" w:space="0" w:color="auto"/>
        <w:right w:val="none" w:sz="0" w:space="0" w:color="auto"/>
      </w:divBdr>
      <w:divsChild>
        <w:div w:id="1288702461">
          <w:marLeft w:val="274"/>
          <w:marRight w:val="0"/>
          <w:marTop w:val="125"/>
          <w:marBottom w:val="0"/>
          <w:divBdr>
            <w:top w:val="none" w:sz="0" w:space="0" w:color="auto"/>
            <w:left w:val="none" w:sz="0" w:space="0" w:color="auto"/>
            <w:bottom w:val="none" w:sz="0" w:space="0" w:color="auto"/>
            <w:right w:val="none" w:sz="0" w:space="0" w:color="auto"/>
          </w:divBdr>
        </w:div>
        <w:div w:id="1294554115">
          <w:marLeft w:val="835"/>
          <w:marRight w:val="0"/>
          <w:marTop w:val="106"/>
          <w:marBottom w:val="0"/>
          <w:divBdr>
            <w:top w:val="none" w:sz="0" w:space="0" w:color="auto"/>
            <w:left w:val="none" w:sz="0" w:space="0" w:color="auto"/>
            <w:bottom w:val="none" w:sz="0" w:space="0" w:color="auto"/>
            <w:right w:val="none" w:sz="0" w:space="0" w:color="auto"/>
          </w:divBdr>
        </w:div>
        <w:div w:id="228461811">
          <w:marLeft w:val="835"/>
          <w:marRight w:val="0"/>
          <w:marTop w:val="106"/>
          <w:marBottom w:val="0"/>
          <w:divBdr>
            <w:top w:val="none" w:sz="0" w:space="0" w:color="auto"/>
            <w:left w:val="none" w:sz="0" w:space="0" w:color="auto"/>
            <w:bottom w:val="none" w:sz="0" w:space="0" w:color="auto"/>
            <w:right w:val="none" w:sz="0" w:space="0" w:color="auto"/>
          </w:divBdr>
        </w:div>
        <w:div w:id="1759860593">
          <w:marLeft w:val="835"/>
          <w:marRight w:val="0"/>
          <w:marTop w:val="106"/>
          <w:marBottom w:val="0"/>
          <w:divBdr>
            <w:top w:val="none" w:sz="0" w:space="0" w:color="auto"/>
            <w:left w:val="none" w:sz="0" w:space="0" w:color="auto"/>
            <w:bottom w:val="none" w:sz="0" w:space="0" w:color="auto"/>
            <w:right w:val="none" w:sz="0" w:space="0" w:color="auto"/>
          </w:divBdr>
        </w:div>
        <w:div w:id="1237327524">
          <w:marLeft w:val="835"/>
          <w:marRight w:val="0"/>
          <w:marTop w:val="106"/>
          <w:marBottom w:val="0"/>
          <w:divBdr>
            <w:top w:val="none" w:sz="0" w:space="0" w:color="auto"/>
            <w:left w:val="none" w:sz="0" w:space="0" w:color="auto"/>
            <w:bottom w:val="none" w:sz="0" w:space="0" w:color="auto"/>
            <w:right w:val="none" w:sz="0" w:space="0" w:color="auto"/>
          </w:divBdr>
        </w:div>
        <w:div w:id="451752447">
          <w:marLeft w:val="274"/>
          <w:marRight w:val="0"/>
          <w:marTop w:val="125"/>
          <w:marBottom w:val="0"/>
          <w:divBdr>
            <w:top w:val="none" w:sz="0" w:space="0" w:color="auto"/>
            <w:left w:val="none" w:sz="0" w:space="0" w:color="auto"/>
            <w:bottom w:val="none" w:sz="0" w:space="0" w:color="auto"/>
            <w:right w:val="none" w:sz="0" w:space="0" w:color="auto"/>
          </w:divBdr>
        </w:div>
        <w:div w:id="300499173">
          <w:marLeft w:val="835"/>
          <w:marRight w:val="0"/>
          <w:marTop w:val="106"/>
          <w:marBottom w:val="0"/>
          <w:divBdr>
            <w:top w:val="none" w:sz="0" w:space="0" w:color="auto"/>
            <w:left w:val="none" w:sz="0" w:space="0" w:color="auto"/>
            <w:bottom w:val="none" w:sz="0" w:space="0" w:color="auto"/>
            <w:right w:val="none" w:sz="0" w:space="0" w:color="auto"/>
          </w:divBdr>
        </w:div>
        <w:div w:id="1995835648">
          <w:marLeft w:val="835"/>
          <w:marRight w:val="0"/>
          <w:marTop w:val="106"/>
          <w:marBottom w:val="0"/>
          <w:divBdr>
            <w:top w:val="none" w:sz="0" w:space="0" w:color="auto"/>
            <w:left w:val="none" w:sz="0" w:space="0" w:color="auto"/>
            <w:bottom w:val="none" w:sz="0" w:space="0" w:color="auto"/>
            <w:right w:val="none" w:sz="0" w:space="0" w:color="auto"/>
          </w:divBdr>
        </w:div>
        <w:div w:id="1093938529">
          <w:marLeft w:val="835"/>
          <w:marRight w:val="0"/>
          <w:marTop w:val="106"/>
          <w:marBottom w:val="0"/>
          <w:divBdr>
            <w:top w:val="none" w:sz="0" w:space="0" w:color="auto"/>
            <w:left w:val="none" w:sz="0" w:space="0" w:color="auto"/>
            <w:bottom w:val="none" w:sz="0" w:space="0" w:color="auto"/>
            <w:right w:val="none" w:sz="0" w:space="0" w:color="auto"/>
          </w:divBdr>
        </w:div>
      </w:divsChild>
    </w:div>
    <w:div w:id="382796472">
      <w:bodyDiv w:val="1"/>
      <w:marLeft w:val="0"/>
      <w:marRight w:val="0"/>
      <w:marTop w:val="0"/>
      <w:marBottom w:val="0"/>
      <w:divBdr>
        <w:top w:val="none" w:sz="0" w:space="0" w:color="auto"/>
        <w:left w:val="none" w:sz="0" w:space="0" w:color="auto"/>
        <w:bottom w:val="none" w:sz="0" w:space="0" w:color="auto"/>
        <w:right w:val="none" w:sz="0" w:space="0" w:color="auto"/>
      </w:divBdr>
      <w:divsChild>
        <w:div w:id="1910841278">
          <w:marLeft w:val="274"/>
          <w:marRight w:val="0"/>
          <w:marTop w:val="125"/>
          <w:marBottom w:val="0"/>
          <w:divBdr>
            <w:top w:val="none" w:sz="0" w:space="0" w:color="auto"/>
            <w:left w:val="none" w:sz="0" w:space="0" w:color="auto"/>
            <w:bottom w:val="none" w:sz="0" w:space="0" w:color="auto"/>
            <w:right w:val="none" w:sz="0" w:space="0" w:color="auto"/>
          </w:divBdr>
        </w:div>
        <w:div w:id="2082363477">
          <w:marLeft w:val="835"/>
          <w:marRight w:val="0"/>
          <w:marTop w:val="106"/>
          <w:marBottom w:val="0"/>
          <w:divBdr>
            <w:top w:val="none" w:sz="0" w:space="0" w:color="auto"/>
            <w:left w:val="none" w:sz="0" w:space="0" w:color="auto"/>
            <w:bottom w:val="none" w:sz="0" w:space="0" w:color="auto"/>
            <w:right w:val="none" w:sz="0" w:space="0" w:color="auto"/>
          </w:divBdr>
        </w:div>
        <w:div w:id="595138728">
          <w:marLeft w:val="835"/>
          <w:marRight w:val="0"/>
          <w:marTop w:val="106"/>
          <w:marBottom w:val="0"/>
          <w:divBdr>
            <w:top w:val="none" w:sz="0" w:space="0" w:color="auto"/>
            <w:left w:val="none" w:sz="0" w:space="0" w:color="auto"/>
            <w:bottom w:val="none" w:sz="0" w:space="0" w:color="auto"/>
            <w:right w:val="none" w:sz="0" w:space="0" w:color="auto"/>
          </w:divBdr>
        </w:div>
        <w:div w:id="922373367">
          <w:marLeft w:val="835"/>
          <w:marRight w:val="0"/>
          <w:marTop w:val="106"/>
          <w:marBottom w:val="0"/>
          <w:divBdr>
            <w:top w:val="none" w:sz="0" w:space="0" w:color="auto"/>
            <w:left w:val="none" w:sz="0" w:space="0" w:color="auto"/>
            <w:bottom w:val="none" w:sz="0" w:space="0" w:color="auto"/>
            <w:right w:val="none" w:sz="0" w:space="0" w:color="auto"/>
          </w:divBdr>
        </w:div>
        <w:div w:id="188154034">
          <w:marLeft w:val="835"/>
          <w:marRight w:val="0"/>
          <w:marTop w:val="106"/>
          <w:marBottom w:val="0"/>
          <w:divBdr>
            <w:top w:val="none" w:sz="0" w:space="0" w:color="auto"/>
            <w:left w:val="none" w:sz="0" w:space="0" w:color="auto"/>
            <w:bottom w:val="none" w:sz="0" w:space="0" w:color="auto"/>
            <w:right w:val="none" w:sz="0" w:space="0" w:color="auto"/>
          </w:divBdr>
        </w:div>
        <w:div w:id="646278861">
          <w:marLeft w:val="274"/>
          <w:marRight w:val="0"/>
          <w:marTop w:val="125"/>
          <w:marBottom w:val="0"/>
          <w:divBdr>
            <w:top w:val="none" w:sz="0" w:space="0" w:color="auto"/>
            <w:left w:val="none" w:sz="0" w:space="0" w:color="auto"/>
            <w:bottom w:val="none" w:sz="0" w:space="0" w:color="auto"/>
            <w:right w:val="none" w:sz="0" w:space="0" w:color="auto"/>
          </w:divBdr>
        </w:div>
        <w:div w:id="399447758">
          <w:marLeft w:val="835"/>
          <w:marRight w:val="0"/>
          <w:marTop w:val="106"/>
          <w:marBottom w:val="0"/>
          <w:divBdr>
            <w:top w:val="none" w:sz="0" w:space="0" w:color="auto"/>
            <w:left w:val="none" w:sz="0" w:space="0" w:color="auto"/>
            <w:bottom w:val="none" w:sz="0" w:space="0" w:color="auto"/>
            <w:right w:val="none" w:sz="0" w:space="0" w:color="auto"/>
          </w:divBdr>
        </w:div>
        <w:div w:id="2063553613">
          <w:marLeft w:val="835"/>
          <w:marRight w:val="0"/>
          <w:marTop w:val="106"/>
          <w:marBottom w:val="0"/>
          <w:divBdr>
            <w:top w:val="none" w:sz="0" w:space="0" w:color="auto"/>
            <w:left w:val="none" w:sz="0" w:space="0" w:color="auto"/>
            <w:bottom w:val="none" w:sz="0" w:space="0" w:color="auto"/>
            <w:right w:val="none" w:sz="0" w:space="0" w:color="auto"/>
          </w:divBdr>
        </w:div>
        <w:div w:id="1902477014">
          <w:marLeft w:val="835"/>
          <w:marRight w:val="0"/>
          <w:marTop w:val="106"/>
          <w:marBottom w:val="0"/>
          <w:divBdr>
            <w:top w:val="none" w:sz="0" w:space="0" w:color="auto"/>
            <w:left w:val="none" w:sz="0" w:space="0" w:color="auto"/>
            <w:bottom w:val="none" w:sz="0" w:space="0" w:color="auto"/>
            <w:right w:val="none" w:sz="0" w:space="0" w:color="auto"/>
          </w:divBdr>
        </w:div>
      </w:divsChild>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07934024">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26202781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35074671">
      <w:bodyDiv w:val="1"/>
      <w:marLeft w:val="0"/>
      <w:marRight w:val="0"/>
      <w:marTop w:val="0"/>
      <w:marBottom w:val="0"/>
      <w:divBdr>
        <w:top w:val="none" w:sz="0" w:space="0" w:color="auto"/>
        <w:left w:val="none" w:sz="0" w:space="0" w:color="auto"/>
        <w:bottom w:val="none" w:sz="0" w:space="0" w:color="auto"/>
        <w:right w:val="none" w:sz="0" w:space="0" w:color="auto"/>
      </w:divBdr>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583177237">
      <w:bodyDiv w:val="1"/>
      <w:marLeft w:val="0"/>
      <w:marRight w:val="0"/>
      <w:marTop w:val="0"/>
      <w:marBottom w:val="0"/>
      <w:divBdr>
        <w:top w:val="none" w:sz="0" w:space="0" w:color="auto"/>
        <w:left w:val="none" w:sz="0" w:space="0" w:color="auto"/>
        <w:bottom w:val="none" w:sz="0" w:space="0" w:color="auto"/>
        <w:right w:val="none" w:sz="0" w:space="0" w:color="auto"/>
      </w:divBdr>
    </w:div>
    <w:div w:id="1594315157">
      <w:bodyDiv w:val="1"/>
      <w:marLeft w:val="0"/>
      <w:marRight w:val="0"/>
      <w:marTop w:val="0"/>
      <w:marBottom w:val="0"/>
      <w:divBdr>
        <w:top w:val="none" w:sz="0" w:space="0" w:color="auto"/>
        <w:left w:val="none" w:sz="0" w:space="0" w:color="auto"/>
        <w:bottom w:val="none" w:sz="0" w:space="0" w:color="auto"/>
        <w:right w:val="none" w:sz="0" w:space="0" w:color="auto"/>
      </w:divBdr>
      <w:divsChild>
        <w:div w:id="1495100415">
          <w:marLeft w:val="274"/>
          <w:marRight w:val="0"/>
          <w:marTop w:val="125"/>
          <w:marBottom w:val="0"/>
          <w:divBdr>
            <w:top w:val="none" w:sz="0" w:space="0" w:color="auto"/>
            <w:left w:val="none" w:sz="0" w:space="0" w:color="auto"/>
            <w:bottom w:val="none" w:sz="0" w:space="0" w:color="auto"/>
            <w:right w:val="none" w:sz="0" w:space="0" w:color="auto"/>
          </w:divBdr>
        </w:div>
        <w:div w:id="895436887">
          <w:marLeft w:val="835"/>
          <w:marRight w:val="0"/>
          <w:marTop w:val="106"/>
          <w:marBottom w:val="0"/>
          <w:divBdr>
            <w:top w:val="none" w:sz="0" w:space="0" w:color="auto"/>
            <w:left w:val="none" w:sz="0" w:space="0" w:color="auto"/>
            <w:bottom w:val="none" w:sz="0" w:space="0" w:color="auto"/>
            <w:right w:val="none" w:sz="0" w:space="0" w:color="auto"/>
          </w:divBdr>
        </w:div>
        <w:div w:id="1622228254">
          <w:marLeft w:val="835"/>
          <w:marRight w:val="0"/>
          <w:marTop w:val="106"/>
          <w:marBottom w:val="0"/>
          <w:divBdr>
            <w:top w:val="none" w:sz="0" w:space="0" w:color="auto"/>
            <w:left w:val="none" w:sz="0" w:space="0" w:color="auto"/>
            <w:bottom w:val="none" w:sz="0" w:space="0" w:color="auto"/>
            <w:right w:val="none" w:sz="0" w:space="0" w:color="auto"/>
          </w:divBdr>
        </w:div>
        <w:div w:id="2147308208">
          <w:marLeft w:val="835"/>
          <w:marRight w:val="0"/>
          <w:marTop w:val="106"/>
          <w:marBottom w:val="0"/>
          <w:divBdr>
            <w:top w:val="none" w:sz="0" w:space="0" w:color="auto"/>
            <w:left w:val="none" w:sz="0" w:space="0" w:color="auto"/>
            <w:bottom w:val="none" w:sz="0" w:space="0" w:color="auto"/>
            <w:right w:val="none" w:sz="0" w:space="0" w:color="auto"/>
          </w:divBdr>
        </w:div>
        <w:div w:id="853615854">
          <w:marLeft w:val="835"/>
          <w:marRight w:val="0"/>
          <w:marTop w:val="106"/>
          <w:marBottom w:val="0"/>
          <w:divBdr>
            <w:top w:val="none" w:sz="0" w:space="0" w:color="auto"/>
            <w:left w:val="none" w:sz="0" w:space="0" w:color="auto"/>
            <w:bottom w:val="none" w:sz="0" w:space="0" w:color="auto"/>
            <w:right w:val="none" w:sz="0" w:space="0" w:color="auto"/>
          </w:divBdr>
        </w:div>
        <w:div w:id="1840386835">
          <w:marLeft w:val="274"/>
          <w:marRight w:val="0"/>
          <w:marTop w:val="125"/>
          <w:marBottom w:val="0"/>
          <w:divBdr>
            <w:top w:val="none" w:sz="0" w:space="0" w:color="auto"/>
            <w:left w:val="none" w:sz="0" w:space="0" w:color="auto"/>
            <w:bottom w:val="none" w:sz="0" w:space="0" w:color="auto"/>
            <w:right w:val="none" w:sz="0" w:space="0" w:color="auto"/>
          </w:divBdr>
        </w:div>
        <w:div w:id="1578399392">
          <w:marLeft w:val="835"/>
          <w:marRight w:val="0"/>
          <w:marTop w:val="106"/>
          <w:marBottom w:val="0"/>
          <w:divBdr>
            <w:top w:val="none" w:sz="0" w:space="0" w:color="auto"/>
            <w:left w:val="none" w:sz="0" w:space="0" w:color="auto"/>
            <w:bottom w:val="none" w:sz="0" w:space="0" w:color="auto"/>
            <w:right w:val="none" w:sz="0" w:space="0" w:color="auto"/>
          </w:divBdr>
        </w:div>
        <w:div w:id="460146783">
          <w:marLeft w:val="835"/>
          <w:marRight w:val="0"/>
          <w:marTop w:val="106"/>
          <w:marBottom w:val="0"/>
          <w:divBdr>
            <w:top w:val="none" w:sz="0" w:space="0" w:color="auto"/>
            <w:left w:val="none" w:sz="0" w:space="0" w:color="auto"/>
            <w:bottom w:val="none" w:sz="0" w:space="0" w:color="auto"/>
            <w:right w:val="none" w:sz="0" w:space="0" w:color="auto"/>
          </w:divBdr>
        </w:div>
        <w:div w:id="71780389">
          <w:marLeft w:val="835"/>
          <w:marRight w:val="0"/>
          <w:marTop w:val="10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619944372">
      <w:bodyDiv w:val="1"/>
      <w:marLeft w:val="0"/>
      <w:marRight w:val="0"/>
      <w:marTop w:val="0"/>
      <w:marBottom w:val="0"/>
      <w:divBdr>
        <w:top w:val="none" w:sz="0" w:space="0" w:color="auto"/>
        <w:left w:val="none" w:sz="0" w:space="0" w:color="auto"/>
        <w:bottom w:val="none" w:sz="0" w:space="0" w:color="auto"/>
        <w:right w:val="none" w:sz="0" w:space="0" w:color="auto"/>
      </w:divBdr>
    </w:div>
    <w:div w:id="1757290045">
      <w:bodyDiv w:val="1"/>
      <w:marLeft w:val="0"/>
      <w:marRight w:val="0"/>
      <w:marTop w:val="0"/>
      <w:marBottom w:val="0"/>
      <w:divBdr>
        <w:top w:val="none" w:sz="0" w:space="0" w:color="auto"/>
        <w:left w:val="none" w:sz="0" w:space="0" w:color="auto"/>
        <w:bottom w:val="none" w:sz="0" w:space="0" w:color="auto"/>
        <w:right w:val="none" w:sz="0" w:space="0" w:color="auto"/>
      </w:divBdr>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SAQRZK7RPU5V-1-16529</_dlc_DocId>
    <_dlc_DocIdUrl xmlns="08b2df90-05d3-4030-90d4-c9feeb4a1cd9">
      <Url>https://ericoll.internal.ericsson.com/sites/NSA/_layouts/DocIdRedir.aspx?ID=SAQRZK7RPU5V-1-16529</Url>
      <Description>SAQRZK7RPU5V-1-16529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2295B-94A0-40A6-B799-31483A28F8CD}">
  <ds:schemaRefs>
    <ds:schemaRef ds:uri="http://purl.org/dc/terms/"/>
    <ds:schemaRef ds:uri="08b2df90-05d3-4030-90d4-c9feeb4a1cd9"/>
    <ds:schemaRef ds:uri="http://schemas.microsoft.com/sharepoint/v4"/>
    <ds:schemaRef ds:uri="http://schemas.microsoft.com/office/2006/metadata/properties"/>
    <ds:schemaRef ds:uri="d46971d8-f4ed-4cac-a977-cede52d8d47b"/>
    <ds:schemaRef ds:uri="http://purl.org/dc/dcmitype/"/>
    <ds:schemaRef ds:uri="http://purl.org/dc/elements/1.1/"/>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3.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4.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6.xml><?xml version="1.0" encoding="utf-8"?>
<ds:datastoreItem xmlns:ds="http://schemas.openxmlformats.org/officeDocument/2006/customXml" ds:itemID="{55B20B15-9F61-42D2-85D2-832157770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3</Pages>
  <Words>1391</Words>
  <Characters>7935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2</cp:revision>
  <cp:lastPrinted>2016-03-02T10:27:00Z</cp:lastPrinted>
  <dcterms:created xsi:type="dcterms:W3CDTF">2017-02-04T02:42:00Z</dcterms:created>
  <dcterms:modified xsi:type="dcterms:W3CDTF">2017-02-04T02:42:00Z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dc21f76e-c140-4a81-8c9f-7b82c7f7d9dc</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